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9805F0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5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Думы города от «__»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05F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_____2021 №____</w:t>
      </w:r>
    </w:p>
    <w:p w:rsidR="00D04B89" w:rsidRPr="009805F0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bookmarkStart w:id="0" w:name="_GoBack"/>
      <w:bookmarkEnd w:id="0"/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КОНТРОЛЬНО-СЧЕТНОМ ОРГАНЕ МУНИЦИПАЛЬНОГО ОБРАЗОВАНИЯ -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СЧЕТНОЙ ПАЛАТЕ ГОРОДА НИЖНЕВАРТОВСКА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1. Статус Счетной палаты города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Контрольно-счетный орган муниципального образования - счетная палата города Нижневартовска (далее - Счетная палата) является постоянно действующим органом внешнего муниципального финансового контроля, образуемым Думой города Нижневартовска (далее - Дума города) и подотчетным ей.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Счетная палата обладает организационной и функциональной независимостью и осуществляет свою деятельность самостоятельно.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Деятельность Счетной палаты не может быть приостановлена, в том числе в связи с истечением срока или досрочным прекращением полномочий Думы города.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Счетная палата является органом местного самоуправления, обладает правами юридического лица, имеет гербовую печать и бланки со своим наименованием и с изображением герба города Нижневартовска.</w:t>
      </w:r>
    </w:p>
    <w:p w:rsidR="00D04B89" w:rsidRPr="001B0E0C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1B0E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Счетной палаты: Контрольно-счетный орган муниципального образования – счетная палата города Нижневартовска. Краткое наименование: Счетная палата города Нижневартовска.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E0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нахождения, фактический и юридический адрес: 628616, Ханты-Мансийский автономный округ – Югра, город Нижневартовск, улица Нефтяников, дом 13а, помещение 1001.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E0C">
        <w:rPr>
          <w:rFonts w:ascii="Times New Roman" w:eastAsia="Times New Roman" w:hAnsi="Times New Roman" w:cs="Times New Roman"/>
          <w:sz w:val="28"/>
          <w:szCs w:val="28"/>
          <w:lang w:eastAsia="ru-RU"/>
        </w:rPr>
        <w:t>6. Счетная палата может учреждать ведомственные награды и знаки отличия, утверждать положения об этих наградах и знаках, их описания и рисунки, порядок награждения.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1B0E0C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5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B0E0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Статья 2. Правовые основы деятельности Счетной палаты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0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Счетная палата осуществляет свою деятельность на основе </w:t>
      </w:r>
      <w:hyperlink r:id="rId6" w:history="1">
        <w:r w:rsidRPr="001B0E0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Pr="001B0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Бюджетного </w:t>
      </w:r>
      <w:hyperlink r:id="rId7" w:history="1">
        <w:r w:rsidRPr="001B0E0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кодекса</w:t>
        </w:r>
      </w:hyperlink>
      <w:r w:rsidRPr="001B0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Федеральных законов от 07.02.2011 </w:t>
      </w:r>
      <w:hyperlink r:id="rId8" w:history="1">
        <w:r w:rsidRPr="001B0E0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№ 6-ФЗ</w:t>
        </w:r>
      </w:hyperlink>
      <w:r w:rsidRPr="001B0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общих принципах организации и деятельности контрольно-счетных органов субъектов Российской Федерации и муниципальных образований», от 06.10.2003 </w:t>
      </w:r>
      <w:hyperlink r:id="rId9" w:history="1">
        <w:r w:rsidRPr="001B0E0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№ 131-ФЗ</w:t>
        </w:r>
      </w:hyperlink>
      <w:r w:rsidRPr="001B0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общих принципах организации местного самоуправления в Российской Федерации» и иных федеральных законов, нормативных правовых </w:t>
      </w:r>
      <w:r w:rsidRPr="001B0E0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актов Ханты-Мансийского автономного округа - Югры, </w:t>
      </w:r>
      <w:hyperlink r:id="rId10" w:history="1">
        <w:r w:rsidRPr="001B0E0C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</w:rPr>
          <w:t>Устава</w:t>
        </w:r>
      </w:hyperlink>
      <w:r w:rsidRPr="001B0E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образования городской округ город Нижневартовск Ханты-Мансийского автономного округа - Югры, настоящего Положения и иных муниципальных правовых актов города.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3. Принципы деятельности Счетной палаты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Счетной палаты основывается на принципах законности, объективности, эффективности, независимости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открытости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гласности.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4. Состав Счетной палаты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Счетная палата образуется в составе председателя Счетной палаты, заместителя председателя Счетной палаты, аудиторов и аппарата Счетной палаты.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Счетной палаты, заместитель председателя Счетной палаты и аудиторы Счетной палаты замещают муниципальные должности.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полномочий председателя Счетной палаты, заместителя председателя Счетной палаты, аудиторов Счетной палаты составляет пять лет.</w:t>
      </w:r>
    </w:p>
    <w:p w:rsidR="00D04B89" w:rsidRPr="008040B2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аппарата Счетной палаты входят инспекторы и иные штатные работники. На инспекторов Счетной палаты возлагаются обязанности по организации и непосредственному проведению внешнего муниципального финансового контроля.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Инспекторы Счетной палаты замещают должности муниципальной службы.</w:t>
      </w:r>
      <w:r w:rsidRPr="00DE71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Должность начальника отдела в части</w:t>
      </w:r>
      <w:r w:rsidRPr="008040B2">
        <w:t xml:space="preserve">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прав, обязанностей и гарантий относится к должности инспектора Счетной палаты.</w:t>
      </w:r>
    </w:p>
    <w:p w:rsidR="00D04B89" w:rsidRPr="008040B2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Иные должности</w:t>
      </w:r>
      <w:r w:rsidRPr="008040B2">
        <w:t xml:space="preserve">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службы в Счетной палате, необходимые для исполнения ее полномочий, устанавливаются правовым актом председателя Счетной палаты в соответствии с реестром должностей муниципальной службы Ханты-Мансийского автономного округа – Югры с учетом установленной штатной численности.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Права,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обязанности и ответственность лиц, замещающих муниципальные должности, должности муниципальной службы, учрежденные для обеспечения исполнения полномочий Счетной палаты, определяются Федеральным </w:t>
      </w:r>
      <w:hyperlink r:id="rId11" w:history="1">
        <w:r w:rsidRPr="00804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и деятельности контрольно-счетных органов муниципальных образований, законодательством о муниципальной службе, трудовым законодательством и иными правовыми актами, содержащими нормы трудового права, и настоящим Положением.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Штатная численность Счетной палаты определяется решением Думы города по представлению председателя Счетной палаты с учетом необходимости выполнения возложенных законодательством полномочий,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обеспечения организационной и функциональной независимости контрольно-счетного органа.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Структура и штатное расписание Счетной палаты утверждается председателем Счетной палаты, исходя из возложенных на Счетную палату полномочий.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40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5. Требования к кандидатурам на должность председателя, заместителя председателя и аудиторов Счетной палаты</w:t>
      </w:r>
    </w:p>
    <w:p w:rsidR="00D04B89" w:rsidRPr="008040B2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B89" w:rsidRPr="008040B2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должность председателя, заместителя председателя и аудитора Счетной палаты назначаются граждане Российской Федерации, соответствующие следующим квалификационным требованиям:</w:t>
      </w:r>
    </w:p>
    <w:p w:rsidR="00D04B89" w:rsidRPr="008040B2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высшего образования;</w:t>
      </w:r>
    </w:p>
    <w:p w:rsidR="00D04B89" w:rsidRPr="008040B2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:rsidR="00D04B89" w:rsidRPr="008040B2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Устава городского округа – город Нижневартовск и иных муниципальных правовых актов города применительно к исполнению должностных обязанностей, а также общих требований к стандартам внешнего муниципального аудита (контроля) для проведения контрольных и экспертно-аналитических мероприятий контрольно-счетными органами субъектов муниципальных образований, утвержденных Счетной палатой Российской Федерации.</w:t>
      </w:r>
    </w:p>
    <w:p w:rsidR="00D04B89" w:rsidRPr="008040B2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2. Гражданин Российской Федерации не может быть назначен на должность председателя, заместителя председателя или аудитора Счетной палаты в случае:</w:t>
      </w:r>
    </w:p>
    <w:p w:rsidR="00D04B89" w:rsidRPr="008040B2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наличия у него неснятой или непогашенной судимости;</w:t>
      </w:r>
    </w:p>
    <w:p w:rsidR="00D04B89" w:rsidRPr="008040B2" w:rsidRDefault="00D04B89" w:rsidP="00D04B89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признания его недееспособным или ограниченно дееспособным решением суда, вступившим в законную силу;</w:t>
      </w:r>
    </w:p>
    <w:p w:rsidR="00D04B89" w:rsidRPr="008040B2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:rsidR="00D04B89" w:rsidRPr="008040B2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государства.</w:t>
      </w:r>
    </w:p>
    <w:p w:rsidR="00D04B89" w:rsidRPr="008040B2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наличия оснований, предусмотренных пунктом 3 настоящей статьи.</w:t>
      </w:r>
    </w:p>
    <w:p w:rsidR="00D04B89" w:rsidRPr="008040B2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Председатель, заместитель председателя, аудиторы Счетной палаты не могут состоять в близком родстве или свойстве (родители, супруги, дети,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братья, сестры, а также братья, сестры, родители, дети супругов и супруги детей) с председателем Думы города Нижневартовска, главой города Нижневартовска, руководителями судебных и правоохранительных органов, расположенных на территории города Нижневартовска.</w:t>
      </w:r>
    </w:p>
    <w:p w:rsidR="00D04B89" w:rsidRPr="008040B2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Председатель, заместитель председателя и аудиторы Счетной палаты не могут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D04B89" w:rsidRPr="008040B2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Председатель, заместитель председателя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аудиторы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Счетной палаты, а также лица, претендующие на замещение указанных должностей,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Ханты-Мансийского автономного округа – Югры, муниципальными правовыми актами города.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6. Порядок назначения и рассмотрения кандидатур на должности председателя Счетной палаты, заместителя председателя Счетной палаты и аудиторов Счетной палаты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Председатель Счетной палаты, заместитель председателя Счетной палаты и аудиторы Счетной палаты назначаются на должность решением Думы города, принятым открытым голосованием.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60"/>
      <w:bookmarkEnd w:id="1"/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Предложения о кандидатуре на должность председателя Счетной палаты вносятся в Думу города: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председателем Думы города;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депутатами Думы города - не менее одной трети от установленн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числа депутатов Думы города;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главой города.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Кандидатура на должность заместителя председателя Счетной палаты и аудиторов Счетной палаты вносится в Думу города председателем Счетной палаты.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Кандидатура на должность председателя Счетной палаты представляется в Думу города не позднее чем за две недели до истечения полномочий действующего председателя Счетной палаты, а в случаях досрочного прекращения им полномочий, в том числе по обстоятельствам, независящим от воли сторон, – в течение 5 дней со дня досрочного прекращения им полномочий.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К предложению по кандидатурам на должности председателя Счетной палаты, заместителя председателя Счетной палаты и аудиторов Счетной палаты прилагаются:</w:t>
      </w:r>
    </w:p>
    <w:p w:rsidR="00D04B89" w:rsidRPr="008040B2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заполненная и подписанная кандидатом анкета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hyperlink r:id="rId12" w:history="1">
        <w:r w:rsidRPr="00804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установленной распоряжением Правительства Российской Федерации от 26.05.2005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667-р;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заявление кандидата, о согласии на рассмотрение его кандидатуры о назначении на должность председателя Счетной палаты, заместителя председателя Счетной палаты и аудиторов Счетной палаты;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3) 2 фотографии 5 x 6;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копия паспорта;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5) документы, подтверждающие необходимое профессиональное образование, стаж работы и квалификацию: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трудовой книжки, заверенная нотариально или кадровой службой по месту работы (службы);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о профессиональном образовании, а также по желанию -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 (службы);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7) заключение медицинского учреждения об отсутствии заболевания, препятствующего поступлению на муниципальную службу.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 по кандидатурам на должность председателя Счетной палаты, заместителя председателя Счетной палаты, аудиторов Счетной палаты со всеми необходимыми документами подаются в аппарат Думы города.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вправе обратиться в Счетную палату Ханты-Мансийского автономного округа – Югры за заключением о соответствии кандидатур на должность председателя Счетной палаты квалификационным требованиям, установленным Федеральным законом «Об общих принципах организации и деятельности контрольно-счетных органов субъектов Российской 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и муниципальных образований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Назначенным на должность председателя Счетной палаты считается кандидат, набравший не менее 17 голосов депутатов Думы города.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по </w:t>
      </w:r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результатам голосования не назначен председатель Счетной палаты, лица, указанные в </w:t>
      </w:r>
      <w:hyperlink r:id="rId13" w:anchor="p60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</w:t>
        </w:r>
        <w:r w:rsidRPr="008040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</w:t>
        </w:r>
      </w:hyperlink>
      <w:r w:rsidRPr="008040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в течение двух недель вновь вносят кандидатуры(у) на должность 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председателя Счетной палаты. На рассмотрение Думы могут быть представлены(а) те же либо другие кандидатуры.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Решение о назначении заместителя председателя Счетной палаты и аудиторов Счетной палаты принимается большинством голосов от установленного числа депутатов Думы города.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Если по результатам голосования не назначен заместитель председателя Счетной палаты и аудиторы Счетной палаты, председатель Счетной палаты в течение двух недель вновь вносит кандидатуру на должность заместителя председателя и аудиторов Счетной палаты. На рассмотрение Думы может быть внесена та же либо другая кандидатура.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7. Аудиторы Счетной палаты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. Аудиторы Счетной палаты возглавляют соответствующие направления деятельности Счетной палаты, организуют и осуществляют контрольные мероприятия и в пределах своих полномочий, установленных законодательством и настоящим Положением.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. Аудиторы Счетной палаты имеют право присутствовать при рассмотрении вопросов, входящих в их полномочия, на заседаниях представительных и исполнительных органов местного самоуправления, их комитетов, комиссий, рабочих групп, коллегий, советов и иных структур, образуемых в органах местного самоуправления.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8. Аппарат Счетной палаты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Аппарат Счетной палаты в пределах установленных полномочий участвует в контрольных и экспертно-аналитических мероприятиях Счетной палаты, осуществляет организационно-техническое, материальное, информационное, правовое и иное обеспечение деятельности Счетной палаты.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Аппарат Счетной палаты состоит из инспекторов и иных штатных работников (далее - работники аппарата Счетной палаты), замещающих главные, ведущие и старшие должности муниципальной службы.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9. Гарантии статуса должностных лиц Счетной палаты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Гарантии статуса должностных лиц Счетной палаты определяются Федеральным </w:t>
      </w:r>
      <w:hyperlink r:id="rId14" w:history="1">
        <w:r w:rsidRPr="00E71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общих принципах организации и деятельности контрольно-счетных органов муниципальных 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образований.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10. Полномочия Счетной палаты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Счетная палата осуществляет следующие основные полномочия: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1) организация и осуществление контроля за законностью и эффективностью использования средств бюджета города, а также иных средств в случаях, предусмотренных законодательством Российской Федерации;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2) экспертиза проектов бюджета города, проверка и анализ обоснованности его показателей;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3) внешняя проверка годового отчета об исполнении бюджета города;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4) проведение аудита в сфере закупок товаров, работ и услуг в соответствии с Федеральным </w:t>
      </w:r>
      <w:hyperlink r:id="rId15" w:history="1">
        <w:r w:rsidRPr="00E71B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законом</w:t>
        </w:r>
      </w:hyperlink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5 апреля 2013 года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№</w:t>
      </w: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44-ФЗ «О контрактной системе в сфере закупок товаров, работ, услуг для обеспечения государственных и муниципальных нужд»;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7) экспертиза проектов муниципальных правовых актов города в части, касающейся расходных обязательств города Нижневартовска, экспертиза проектов муниципальных правовых актов города, приводящих к изменению доходов бюджета города, а также муниципальных программ города (проектов муниципальных программ города);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8) анализ и мониторинг бюджетного процесса города Нижневартовска,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9) проведение оперативного анализа исполнения и контроля за организацией исполнения бюджета города в текущем финансовом году, ежеквартальное представление информации о ходе исполнения бюджета города, о результатах проведенных контрольных и экспертно-аналитических мероприятий в Думу города и главе города;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10) осуществление контроля за состоянием муниципального внутреннего и внешнего долга;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11) оценка реализуемости, рисков и результатов достижения целей социально-экономического развития города, предусмотренных документами стратегического планирования города, в пределах компетенции Счетной палаты;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12) участие в пределах полномочий в мероприятиях, направленных на противодействие коррупции;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13) иные полномочия в сфере внешнего муниципального финансового контроля, установленные федеральными законами, законами Ханты-Мансийского автономного округа - Югры, Уставом и решениями Думы города Нижневартовска.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Внешний муниципальный финансовый контроль осуществляется Счетной палатой: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1) в отношении органов местного самоуправления и муниципальных органов, муниципальных учреждений и унитарных предприятий города Нижневартовска, а также иных организаций, если они используют имущество, находящееся в муниципальной собственности города Нижневартовска;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2) в отношении иных лиц в случаях, предусмотренных Бюджетным </w:t>
      </w:r>
      <w:hyperlink r:id="rId16" w:history="1">
        <w:r w:rsidRPr="00E71B86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кодексом</w:t>
        </w:r>
      </w:hyperlink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Российской Федерации и другими федеральными законами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11. Формы осуществления Счетной палатой</w:t>
      </w: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внешнего муниципального финансового контроля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Внешний муниципальный финансовый контроль осуществляется Счетной палатой в форме контрольных или экспертно-аналитических мероприятий.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проведении контрольного мероприятия Счетная палата составляет соответствующий акт (акты), который доводится до сведения рук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оводителей проверяемых органов 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организаций. На основании акта (актов) Счетной палатой составляется отчет.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проведении экспертно-аналитического мероприятия Счетная палата составляет заключение.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12. Стандарты внешнего муниципального финансового контроля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Счетная палата при осуществлении внешнего муниципального финансового контроля руководствуется </w:t>
      </w:r>
      <w:hyperlink r:id="rId17" w:history="1">
        <w:r w:rsidRPr="00E71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Конституцией</w:t>
        </w:r>
      </w:hyperlink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законодательством Российской Федерации, зако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нодательством Ханты-Мансийского автономного округа - Югры, муниципальными нормативными правовыми актами города, а также стандартами внешнего муниципального финансового контроля.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Разработка и утверждение стандартов внешнего муниципального </w:t>
      </w: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контроля осуществляется Счетной палатой в соответствии с Федеральным </w:t>
      </w:r>
      <w:hyperlink r:id="rId18" w:history="1">
        <w:r w:rsidRPr="00E71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принципах организации и деятельности контрольно-счетных органов муниципальных образований.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Статья 13. Планирование деятельности Счетной палаты.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Счетная палата осуществляет свою деятельность на основе планов, которые разрабатываются и утверждаются ею самостоятельно. 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План деятельности Счетной палаты на очередной год утверждается в срок до 31 декабря текущего года.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Планирование деятельности Счетной палаты осуществляется с учетом результатов контрольных и экспертно-аналитических мероприятий, а также на основании поручений Думы города, предложений главы города.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4. Поручения Думы города, предложения главы города подлежат включению в план деятельности Счетной палаты на предстоящий год в соответствии с Порядком включения в планы деятельности Счетной палаты поручения Думы города, предложений главы города, установленным решением Думы города.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14. Регламент Счетной палаты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Внутренние вопросы деятельности Счетной палаты, распределение обязанностей между должностными лицами Счетной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палаты, а также иными штатными работниками Счетной палаты, порядок ведения дел, подготовки и проведения мероприятий всех видов и форм контрольной и иной деятельности определяются регламентом Счетной палаты, утверждаемым председателем Счетной палаты.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15. Полномочия и организация работы Коллегии Счетной палаты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Коллегия Счетной палаты является совещательным органом Счетной палаты и образуется в целях рассмотрения вопросов планирования и организации работы Счетной палаты, методологического обеспечения деятельности Счетной палаты, выработки единых подходов к осуществлению своей деятельности, а также рассмотрения иных наиболее важных вопросов, связанных с деятельностью Счетной палаты. В состав Коллегии Счетной палаты входят председатель, заместитель председателя и аудиторы Счетной палаты.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Заседания Коллегии Счетной палаты проводятся по мере необходимости и считаются правомочными, если на них присутствуют не менее 2/3 от состава Коллегии Счетной палаты.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заседания Коллегии Счетной палаты могут приглашаться заинтересованные лица.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Работой Коллегии Счетной палаты руководит председатель Счетной палаты.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Компетенция и порядок работы Коллегии Счетной палаты определяется регламентом Счетной палаты с учетом настоящего Положения.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Решения Коллегии Счетной палаты по вопросам, относящимся к ее компетенции, принимаются путем голосования простым большинством присутствующих членов Коллегии Счетной палаты и отражаются в протоколе заседания Коллегии Счетной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палаты. При равенстве голосов «за» и «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 председателя Счетной палаты является решающим.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ведется одним из работников Счетной палаты и подписывается всеми присутствующими членами Коллегии Счетной палаты.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Статья 16. Обязательность исполнения требований должностных лиц Счетной палаты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Обязанность исполнения требований должностных лиц Счетной палаты определяется Федеральным </w:t>
      </w:r>
      <w:hyperlink r:id="rId19" w:history="1">
        <w:r w:rsidRPr="00E71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общих принципах организации и деятельности контрольно-счетных органов муниципальных образований.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17. Права, обязанности и ответственность должностных лиц Счетной палаты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Должностные лица Счетной палаты при осуществлении возложенных на них должностных полномочий имеют право: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217"/>
      <w:bookmarkEnd w:id="2"/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пределах своей компетенции направлять запросы должностным лицам территориальных органов, федеральных органов исполнительной власти и их структурных подразделений, органов государственной власти и государственных органов субъектов Российской Федерации, органов местного самоуправления, организаций;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тайну;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8) знакомиться с технической документацией к электронным базам данных;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9) составлять протоколы об административных правонарушениях, если такое право предусмотрено законодательством.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Должностные лица Счетной палаты в случае опечатывания касс, кассовых и служебных помещений, складов и архивов, изъятия документов и </w:t>
      </w: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материалов в случае, предусмотренном </w:t>
      </w:r>
      <w:hyperlink r:id="rId20" w:anchor="p217" w:history="1">
        <w:r w:rsidRPr="00E71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части 1</w:t>
        </w:r>
      </w:hyperlink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статьи, должны незамедлительно (в течение 24 часов) уведомить об этом председателя Счетной палаты в порядке, установленном </w:t>
      </w:r>
      <w:hyperlink r:id="rId21" w:history="1">
        <w:r w:rsidRPr="00E71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Ханты-Мансийского автономного округа - Югры от 10.04.2012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38-оз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О регулировании отдельных вопросов организации и деятельности контрольно-счетных органов муниципальных образовани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Ханты-Мансийского автономного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Должностные лица Счетной палаты не вправе вмешиваться в оперативно-хозяйственную деятельность проверяемых органов и организаций,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4. Должностные лица Счетной палаты 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 объективно и достоверно отражать их результаты в соответствующих актах, отчетах и заключениях.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Должностные лица Счетной палаты обязаны соблюдать ограничения, запреты, исполнять обязанности, которые установлены Федеральным </w:t>
      </w:r>
      <w:hyperlink r:id="rId22" w:history="1">
        <w:r w:rsidRPr="00E71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25 декабря 2008 года N 273-ФЗ «О противодействии коррупции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</w:t>
      </w:r>
      <w:hyperlink r:id="rId23" w:history="1">
        <w:r w:rsidRPr="00E71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 3 декабря 2012 года N 230-ФЗ «</w:t>
      </w: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Федеральным </w:t>
      </w:r>
      <w:hyperlink r:id="rId24" w:history="1">
        <w:r w:rsidRPr="00E71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7 мая 2013 года N 79-ФЗ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Должностные лица Счетной палаты несут ответственность в соответствии с законодательством Российской Федерации за достоверность и объективность </w:t>
      </w:r>
      <w:proofErr w:type="gramStart"/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результатов</w:t>
      </w:r>
      <w:proofErr w:type="gramEnd"/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проводимых ими контрольных и экспертно-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аналитических мероприятий, а также за разглашение государственной и иной охраняемой законом тайны.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Председатель Счетной палаты, заместитель председателя и аудиторы Счетной палаты вправе участвовать в заседаниях Думы города, комитетов, рабочих групп, коллегий, советов, создаваемых Думой города, заседаниях иных органов местного самоуправления.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Руководители проверяемых органов и организаций обязаны обеспечивать должностных лиц Счетной палаты, участвующих в контрольных мероприятиях, оборудованным рабочим местом с доступом к справочным правовым системам, информационно-телекоммуникационной сети Интернет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18. Полномочия председателя, заместителя председателя Счетной палаты по организации деятельности Счетной палаты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Председатель Счетной палаты: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осуществляет общее руководство деятельностью Счетной палаты;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представляет без доверенности Счетную палату в органах государственной власти, органах местного самоуправления, судебных органах, иных организациях;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3) утверждает регламент Счетной палаты;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4) утверждает план деятельности Счетной палаты и изменения в него;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5) утверждает годовой отчет о деятельности Счетной палаты;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6) утверждает стандарты внешнего муниципального финансового контроля;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подписывает представления, отчеты по итогам контрольных мероприятий и предписания Счетной палаты;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) может являться руководителем контрольных и экспертно-аналитических мероприятий;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представляет Думе города ежегодный отчет о деятельности Счетной палаты, </w:t>
      </w:r>
      <w:proofErr w:type="gramStart"/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результатах</w:t>
      </w:r>
      <w:proofErr w:type="gramEnd"/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проведенных контрольных и экспертно-аналитических мероприятий;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) обеспечивает исполнение поручений Думы города, предложений и запросов главы города;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представляет Счетную палату в отношениях с государственными органами Российской Федерации, государственными органами субъектов Российской Федерации и органами местного самоуправления;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) утверждает штатное расписание, структуру, положения о структурных подразделениях и должностные инструкции работников Счетной палаты;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заключает соглашения о сотрудничестве с государственными органами контроля, государственными и муниципальными органами финансового контроля;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) издает постановления и распоряжения по вопросам деятельности Счетной палаты, дает поручения работникам Счетной палаты;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руководит работой Коллегии Счетной палаты;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16) принимает участие в заседаниях Думы города, ее комитетов и рабочих групп, в заседаниях администрации города и мероприятиях, проводимых органами государственной власти и органами местного самоуправления, а также координационных и совещательных органах при главе города;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17) осуществляет иные полномочия в соответствии с федеральным законодательством, законодательством Ханты-Мансийского автономного округа - Югры и решениями Думы города.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Заместитель председателя Счетной палаты: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отсутствие председателя Счетной палаты выполняет его обязанности;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2) может являться руководителем контрольных и экспертно-аналитических мероприятий;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3) выполняет иные должностные обязанности в соответствии с регламентом Счетной палаты и поручениями председателя Счетной палаты.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19. Представление информации Счетной палате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Органы местного самоуправления и муниципальные органы города Нижневартовска, организации, в отношении которых Счетная палата вправе осуществлять внешний муниципальный финансовый контроль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установленные законами Ханты-Мансийского автономного округа – Югры сроки обязаны представлять в Счетную палату по ее запросам информацию, документы и материалы, необходимые для проведения контрольных и экспертно-аналитических мероприятий.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Органы местного самоуправления и муниципальные органы города Нижневартовска, организации, в отношении которых Счетная палата вправе осуществлять внешний муниципальный финансовый контроль, их должностные лица, а также территориальные органы федеральных органов исполнительной власти и их структурные подразделения в течение 14 дней со дня получения запроса Счетной палаты, если иной срок не установлен в запросе, обязаны представлять в Счетную палату указанные в запросе документы, информацию и материалы, необходимые для проведения контрольных и экспертно-аналитических мероприятий.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направления Счетной палатой запросов определяется регламентом Счетной палаты.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Счетная палата не вправе запрашивать информацию, документы и материалы, если такие информация, документы и материалы ранее уже были им представлены.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Непредставление или несвоевременное представление органами и организациями, указанными в пункте 1 настоящей статьи, в Счетную палату по ее запросам информации, документов и материалов, необходимых для проведения контрольных и экспертно-аналитических мероприятий, а равно </w:t>
      </w: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Ханты-Мансийского автономного округа – Югры.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При осуществлении внешнего муниципального финансового контроля Счетной палате предоставляется необходимый для реализации ее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20. Представления и предписания Счетной палаты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Счетная палата по результатам проведения контрольных мероприятий вправе вносить в органы местного самоуправления и муниципальные органы города Нижневартовска,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ущерба муниципальному образованию или возмещению причиненного вреда, по привлечению к ответственности должностных лиц, виновных в допущенных нарушениях, а также мер по пресечению, устранению и предупреждению нарушений.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Представление Счетной палаты подписывается председателем Счетной палаты, его заместителем.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Органы местного самоуправления и муниципальные органы города Нижневартовска, а также организации в указанный в представлении срок или, если срок не указан, в течение 30 дней со дня его получения обязаны уведомить в письменной форме Счетную палату о принятых по результатам выполнения представления решениях и мерах.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Срок выполнения представления может быть продлен по решению Счетной палаты, оформляемому письмом председателя Счетной палаты либо его заместителя, на основании ходатайства лица, в адрес которого направлено представление, но не более одного раза.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4. В случае выявления нарушений, требующих безотлагательных мер по их пресечению и предупреждению, невыполнения представлений Счетной палаты, а также в случае воспрепятствования проведению должностными лицами Счетной палаты контрольных мероприятий Счетная палата направляет в органы местного самоуправления и муниципальные органы города Нижневартовска, проверяемые органы и организации и их должностным лицам предписание.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Предписание Счетной палаты должно содержать указание на конкретные допущенные нарушения и конкретные основания вынесения </w:t>
      </w: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предписания. Предписание Счетной палаты подписывается председателем Счетной палаты либо его заместителем.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Предписание контрольно-счетного органа должно быть исполнено в установленные в нем сроки. Срок выполнения предписания может быть продлен по решению Счетной палаты, оформляемому письмом председателя Счетной палаты либо его заместителя, на основании ходатайства лица, в адрес которого направлено предписание, но не более одного раза.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Невыполнение представления или предписания Счетной палаты влечет за собой ответственность, установленную законодательством Российской Федерации.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8. В случае, если при проведении контрольных мероприятий выявлены факты незаконного использования средств бюджета города Нижневартовска, в которых усматриваются признаки преступления или коррупционного правонарушения, Счетная палата в установленном порядке незамедлительно передает материалы контрольных мероприятий в правоохранительные органы. Правоохранительные органы обязаны предоставлять Счетной палате информацию о ходе рассмотрения и принятых решениях по переданным Счетной палатой материалам.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21. Гарантии прав проверяемых органов и организаций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Гарантии прав проверяемых органов и организаций определяются Федеральным </w:t>
      </w:r>
      <w:hyperlink r:id="rId25" w:history="1">
        <w:r w:rsidRPr="00E71B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законом</w:t>
        </w:r>
      </w:hyperlink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общих принципах организации и деятельности контрольно-счетных органов </w:t>
      </w: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образований.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22. Взаимодействие Счетной палаты с иными контрольно-счетными органами, государственными органами и организациями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Счетная палата при осуществлении своей деятельности вправе взаимодействовать с контрольно-счетными органами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Счетная палата вправе заключать с ними соглашения о сотрудничестве и взаимодействии.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Счетная палата 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:rsidR="00D04B89" w:rsidRPr="00E71B86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 Счетная палата вправе вступать в объединения (ассоциации) контрольно-счетных органов Российской Федерации, объединения (ассоциации) контрольно-счетных органов субъекта Российской Федерации.</w:t>
      </w:r>
    </w:p>
    <w:p w:rsidR="00D04B89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1B86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Счетная палата по письменному обращению контрольно-счетных органов субъектов Российской Федерации и муниципальных образований могут принимать участие в проводимых ими контрольных и экспертно-аналитических мероприятиях.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23. Обеспечение доступа к информации о деятельности Счетной палаты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Счетная палата в целях обеспечения доступа к информации о своей деятельности размещает на официальном сайте органов местного самоуправления города в информационно-телекоммуникационной сети Интернет (далее - сеть Интернет) и опубликовывает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решениях и мерах.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2. Счетная палата ежегодно представляет отчет о своей деятельности, который направляется на рассмотрение Думе города. Отчет о деятельности Счетной палаты опубликовывается в средствах массовой информации или размещается на официальном сайте органов местного самоуправления города в сети Интернет после его рассмотрения Думой города.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опубликования в средствах массовой информации и размещения в сети Интернет информации о деятельности Счетной палаты осуществляется в соответствии с законодательством Российской Федерации, законами Ханты-Мансийского автономного округа - Югры, настоящим Положением и регламентом Счетной палаты.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Статья 24. Финансовое обеспечение деятельности Счетной палаты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1. Финансовое обеспечение деятельности Счетной палаты осуществляется за счет средств бюджета города Нижневартовска и предусматривается в объеме, позволяющем обеспечить осуществление возложенных на нее полномочий.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Расходы на обеспечение деятельности Счетной палаты предусматриваются в бюджете города Нижневартовска отдельной строкой в соответствии с классификацией расходов бюджетов Российской Федерации и не подлежат уменьшению в течение финансового года.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Контроль за использованием Счетной палатой бюджетных средств и муниципального имущества осуществляется на основании решений Думы города.</w:t>
      </w:r>
    </w:p>
    <w:p w:rsidR="00D04B89" w:rsidRPr="003539C1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39C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04B89" w:rsidRPr="00DE7164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E716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Статья 25. Материально-техническое и иное обеспечение деятельности Счетной палаты</w:t>
      </w:r>
    </w:p>
    <w:p w:rsidR="00D04B89" w:rsidRPr="00DE7164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D04B89" w:rsidRPr="00DE7164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7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Должностным лицам Счетной палаты гарантируются денежное содержание (вознаграждение), ежегодные оплачиваемые отпуска (основной и дополнительные), профессиональное развитие, в том числе получение дополнительного профессионального образования, а также другие меры материального и социального обеспечения, установленные для лиц, замещающих муниципальные должности и должности муниципальной службы города (в том числе по медицинскому и санаторно-курортному обеспечению, бытовому, транспортному и иным видам обслуживания).</w:t>
      </w:r>
    </w:p>
    <w:p w:rsidR="00D04B89" w:rsidRPr="00DE7164" w:rsidRDefault="00D04B89" w:rsidP="00D04B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7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Меры по материальному и социальному обеспечению председателя, заместителя председателя, аудиторов, инспекторов и иных работников аппарата Счетной палаты устанавливаются муниципальными правовыми актами в соответствии с федеральными законами и законами Ханты-Мансийского автономного округа – Югры.</w:t>
      </w:r>
    </w:p>
    <w:p w:rsidR="00D04B89" w:rsidRDefault="00D04B89" w:rsidP="00D04B89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E716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Материально-техническое и организационное обеспечение деятельности Счетной палаты осуществляется в порядке, установленном решением Думы города Нижневартовска».</w:t>
      </w:r>
    </w:p>
    <w:p w:rsidR="00D04B89" w:rsidRDefault="00D04B89" w:rsidP="00D04B8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625F" w:rsidRDefault="0080625F"/>
    <w:sectPr w:rsidR="0080625F" w:rsidSect="00DB48B7">
      <w:headerReference w:type="default" r:id="rId26"/>
      <w:pgSz w:w="11906" w:h="16838"/>
      <w:pgMar w:top="1134" w:right="850" w:bottom="1134" w:left="1701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8B7" w:rsidRDefault="00DB48B7" w:rsidP="00DB48B7">
      <w:pPr>
        <w:spacing w:after="0" w:line="240" w:lineRule="auto"/>
      </w:pPr>
      <w:r>
        <w:separator/>
      </w:r>
    </w:p>
  </w:endnote>
  <w:endnote w:type="continuationSeparator" w:id="0">
    <w:p w:rsidR="00DB48B7" w:rsidRDefault="00DB48B7" w:rsidP="00DB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8B7" w:rsidRDefault="00DB48B7" w:rsidP="00DB48B7">
      <w:pPr>
        <w:spacing w:after="0" w:line="240" w:lineRule="auto"/>
      </w:pPr>
      <w:r>
        <w:separator/>
      </w:r>
    </w:p>
  </w:footnote>
  <w:footnote w:type="continuationSeparator" w:id="0">
    <w:p w:rsidR="00DB48B7" w:rsidRDefault="00DB48B7" w:rsidP="00DB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3259416"/>
      <w:docPartObj>
        <w:docPartGallery w:val="Page Numbers (Top of Page)"/>
        <w:docPartUnique/>
      </w:docPartObj>
    </w:sdtPr>
    <w:sdtContent>
      <w:p w:rsidR="00DB48B7" w:rsidRDefault="00DB48B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:rsidR="00DB48B7" w:rsidRDefault="00DB48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96"/>
    <w:rsid w:val="0080625F"/>
    <w:rsid w:val="00BA6C96"/>
    <w:rsid w:val="00D04B89"/>
    <w:rsid w:val="00DB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909D4-59EE-4D38-AC82-3D39DD5CC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B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04B89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B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48B7"/>
  </w:style>
  <w:style w:type="paragraph" w:styleId="a6">
    <w:name w:val="footer"/>
    <w:basedOn w:val="a"/>
    <w:link w:val="a7"/>
    <w:uiPriority w:val="99"/>
    <w:unhideWhenUsed/>
    <w:rsid w:val="00DB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48B7"/>
  </w:style>
  <w:style w:type="paragraph" w:styleId="a8">
    <w:name w:val="Balloon Text"/>
    <w:basedOn w:val="a"/>
    <w:link w:val="a9"/>
    <w:uiPriority w:val="99"/>
    <w:semiHidden/>
    <w:unhideWhenUsed/>
    <w:rsid w:val="00DB4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B4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3469&amp;dst=100020&amp;field=134&amp;date=03.09.2021" TargetMode="External"/><Relationship Id="rId13" Type="http://schemas.openxmlformats.org/officeDocument/2006/relationships/hyperlink" Target="https://ovmf2.consultant.ru/static4021_00_20_536342/document_notes_inner.htm?" TargetMode="External"/><Relationship Id="rId18" Type="http://schemas.openxmlformats.org/officeDocument/2006/relationships/hyperlink" Target="https://login.consultant.ru/link/?req=doc&amp;base=LAW&amp;n=383469&amp;date=08.09.2021" TargetMode="External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926&amp;n=78428&amp;date=08.09.2021" TargetMode="External"/><Relationship Id="rId7" Type="http://schemas.openxmlformats.org/officeDocument/2006/relationships/hyperlink" Target="https://login.consultant.ru/link/?req=doc&amp;base=LAW&amp;n=389332&amp;dst=2317&amp;field=134&amp;date=03.09.2021" TargetMode="External"/><Relationship Id="rId12" Type="http://schemas.openxmlformats.org/officeDocument/2006/relationships/hyperlink" Target="https://login.consultant.ru/link/?req=doc&amp;base=LAW&amp;n=338392&amp;dst=100007&amp;field=134&amp;date=08.09.2021" TargetMode="External"/><Relationship Id="rId17" Type="http://schemas.openxmlformats.org/officeDocument/2006/relationships/hyperlink" Target="https://login.consultant.ru/link/?req=doc&amp;base=LAW&amp;n=2875&amp;date=08.09.2021" TargetMode="External"/><Relationship Id="rId25" Type="http://schemas.openxmlformats.org/officeDocument/2006/relationships/hyperlink" Target="https://login.consultant.ru/link/?req=doc&amp;base=LAW&amp;n=383469&amp;date=08.09.202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9332&amp;date=03.09.2021" TargetMode="External"/><Relationship Id="rId20" Type="http://schemas.openxmlformats.org/officeDocument/2006/relationships/hyperlink" Target="https://ovmf2.consultant.ru/static4021_00_20_536342/document_notes_inner.htm?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875&amp;date=03.09.2021" TargetMode="External"/><Relationship Id="rId11" Type="http://schemas.openxmlformats.org/officeDocument/2006/relationships/hyperlink" Target="https://login.consultant.ru/link/?req=doc&amp;base=LAW&amp;n=383469&amp;dst=100131&amp;field=134&amp;date=08.09.2021" TargetMode="External"/><Relationship Id="rId24" Type="http://schemas.openxmlformats.org/officeDocument/2006/relationships/hyperlink" Target="https://login.consultant.ru/link/?req=doc&amp;base=LAW&amp;n=385032&amp;date=08.09.2021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389509&amp;date=03.09.2021" TargetMode="External"/><Relationship Id="rId23" Type="http://schemas.openxmlformats.org/officeDocument/2006/relationships/hyperlink" Target="https://login.consultant.ru/link/?req=doc&amp;base=LAW&amp;n=358876&amp;date=08.09.2021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237403&amp;dst=101584&amp;field=134&amp;date=03.09.2021" TargetMode="External"/><Relationship Id="rId19" Type="http://schemas.openxmlformats.org/officeDocument/2006/relationships/hyperlink" Target="https://login.consultant.ru/link/?req=doc&amp;base=LAW&amp;n=383469&amp;dst=100128&amp;field=134&amp;date=08.09.20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89137&amp;dst=336&amp;field=134&amp;date=03.09.2021" TargetMode="External"/><Relationship Id="rId14" Type="http://schemas.openxmlformats.org/officeDocument/2006/relationships/hyperlink" Target="https://login.consultant.ru/link/?req=doc&amp;base=LAW&amp;n=383469&amp;date=08.09.2021" TargetMode="External"/><Relationship Id="rId22" Type="http://schemas.openxmlformats.org/officeDocument/2006/relationships/hyperlink" Target="https://login.consultant.ru/link/?req=doc&amp;base=LAW&amp;n=385033&amp;date=08.09.202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6067</Words>
  <Characters>34586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Некрасова Наталья Сергеевна</dc:creator>
  <cp:keywords/>
  <dc:description/>
  <cp:lastModifiedBy>Некрасова Наталья Сергеевна</cp:lastModifiedBy>
  <cp:revision>3</cp:revision>
  <cp:lastPrinted>2021-09-15T09:27:00Z</cp:lastPrinted>
  <dcterms:created xsi:type="dcterms:W3CDTF">2021-09-15T09:17:00Z</dcterms:created>
  <dcterms:modified xsi:type="dcterms:W3CDTF">2021-09-15T09:30:00Z</dcterms:modified>
</cp:coreProperties>
</file>