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-2"/>
        <w:jc w:val="right"/>
      </w:pPr>
      <w:r/>
      <w:r/>
    </w:p>
    <w:p>
      <w:pPr>
        <w:pStyle w:val="856"/>
        <w:numPr>
          <w:ilvl w:val="0"/>
          <w:numId w:val="0"/>
        </w:numPr>
        <w:jc w:val="center"/>
        <w:spacing w:before="0" w:after="0" w:line="240" w:lineRule="auto"/>
        <w:shd w:val="clear" w:color="auto" w:fill="ffffff"/>
        <w:outlineLvl w:val="0"/>
      </w:pPr>
      <w:r>
        <w:rPr>
          <w:rFonts w:ascii="XO Thames" w:hAnsi="XO Thames" w:eastAsia="Times New Roman" w:cs="XO Thames"/>
          <w:b/>
          <w:bCs/>
          <w:sz w:val="28"/>
          <w:szCs w:val="45"/>
          <w:lang w:eastAsia="ru-RU"/>
        </w:rPr>
        <w:t xml:space="preserve">ТЕХНИЧЕСКОЕ ЗАДАНИЕ </w:t>
      </w:r>
      <w:r>
        <w:rPr>
          <w:rFonts w:ascii="XO Thames" w:hAnsi="XO Thames" w:cs="XO Thames"/>
          <w:b/>
          <w:bCs/>
          <w:sz w:val="28"/>
          <w:szCs w:val="45"/>
        </w:rPr>
      </w:r>
      <w:r/>
    </w:p>
    <w:p>
      <w:pPr>
        <w:pStyle w:val="856"/>
        <w:numPr>
          <w:ilvl w:val="0"/>
          <w:numId w:val="0"/>
        </w:numPr>
        <w:jc w:val="center"/>
        <w:spacing w:before="0" w:after="0" w:line="240" w:lineRule="auto"/>
        <w:shd w:val="clear" w:color="auto" w:fill="ffffff"/>
        <w:outlineLvl w:val="0"/>
      </w:pPr>
      <w:r>
        <w:rPr>
          <w:rFonts w:ascii="XO Thames" w:hAnsi="XO Thames" w:eastAsia="Times New Roman" w:cs="XO Thames"/>
          <w:b/>
          <w:sz w:val="28"/>
          <w:szCs w:val="28"/>
          <w:lang w:eastAsia="ru-RU"/>
        </w:rPr>
        <w:t xml:space="preserve">на организацию и проведение мероприятий на набережной реки Обь </w:t>
        <w:br/>
        <w:t xml:space="preserve">в рамках фестиваля искусств, труда и спорта «Самотлорские ночи – 2024» с установкой художественного оформления и обеспечением технического, звуко-светового оборудования</w:t>
      </w:r>
      <w:r>
        <w:rPr>
          <w:rFonts w:ascii="XO Thames" w:hAnsi="XO Thames" w:cs="XO Thames"/>
        </w:rPr>
      </w:r>
      <w:r/>
    </w:p>
    <w:p>
      <w:pPr>
        <w:pStyle w:val="856"/>
        <w:numPr>
          <w:ilvl w:val="0"/>
          <w:numId w:val="0"/>
        </w:numPr>
        <w:jc w:val="center"/>
        <w:spacing w:before="0" w:after="0" w:line="240" w:lineRule="auto"/>
        <w:shd w:val="clear" w:color="auto" w:fill="ffffff"/>
        <w:rPr>
          <w:rFonts w:ascii="XO Thames" w:hAnsi="XO Thames" w:cs="XO Thames"/>
          <w:color w:val="0070c0"/>
          <w:szCs w:val="28"/>
        </w:rPr>
        <w:outlineLvl w:val="0"/>
      </w:pPr>
      <w:r>
        <w:rPr>
          <w:rFonts w:ascii="XO Thames" w:hAnsi="XO Thames" w:cs="XO Thames"/>
          <w:b/>
          <w:bCs/>
          <w:color w:val="0070c0"/>
          <w:sz w:val="28"/>
          <w:szCs w:val="45"/>
        </w:rPr>
      </w:r>
      <w:r>
        <w:rPr>
          <w:rFonts w:ascii="XO Thames" w:hAnsi="XO Thames" w:cs="XO Thames"/>
          <w:b/>
          <w:bCs/>
          <w:color w:val="0070c0"/>
          <w:sz w:val="28"/>
          <w:szCs w:val="45"/>
        </w:rPr>
      </w:r>
      <w:r/>
    </w:p>
    <w:tbl>
      <w:tblPr>
        <w:tblW w:w="9776" w:type="dxa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55"/>
        <w:gridCol w:w="1530"/>
        <w:gridCol w:w="738"/>
        <w:gridCol w:w="5952"/>
      </w:tblGrid>
      <w:tr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Заказчик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Департамент по социальной политике администрации города Нижневартовска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Основание для финансирования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Муниципальная программа «Развитие социальной сферы города Нижневартовска на 2019-2030 годы» утвержденная постановлением администрации города от 27.08.2018 №1167 (с изменениями)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856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Максимальный размер субсидии</w:t>
            </w:r>
            <w:r>
              <w:rPr>
                <w:rFonts w:ascii="XO Thames" w:hAnsi="XO Thames" w:cs="XO Thames"/>
                <w:b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pStyle w:val="856"/>
              <w:spacing w:before="0" w:after="0" w:line="240" w:lineRule="auto"/>
              <w:rPr>
                <w:rFonts w:ascii="XO Thames" w:hAnsi="XO Thames" w:cs="XO Thames"/>
                <w:color w:val="000000"/>
                <w:highlight w:val="white"/>
              </w:rPr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  <w:t xml:space="preserve"> 500,0 тыс. руб.</w:t>
            </w:r>
            <w:r>
              <w:rPr>
                <w:rFonts w:ascii="XO Thames" w:hAnsi="XO Thames" w:cs="XO Thames"/>
                <w:color w:val="000000"/>
                <w:sz w:val="24"/>
                <w:szCs w:val="24"/>
                <w:highlight w:val="white"/>
              </w:rPr>
            </w:r>
            <w:r/>
            <w:r>
              <w:rPr>
                <w:rFonts w:ascii="XO Thames" w:hAnsi="XO Thames" w:cs="XO Thames"/>
                <w:sz w:val="24"/>
                <w:szCs w:val="24"/>
                <w:shd w:val="clear" w:color="auto" w:fill="ffffff"/>
              </w:rPr>
            </w:r>
            <w:r>
              <w:rPr>
                <w:rFonts w:ascii="XO Thames" w:hAnsi="XO Thames" w:cs="XO Thames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Сроки оказания услуги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highlight w:val="white"/>
                <w:shd w:val="clear" w:color="auto" w:fill="0165be"/>
                <w:lang w:eastAsia="ru-RU"/>
              </w:rPr>
              <w:t xml:space="preserve">14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- 16 июня 2024 года в дни проведения фестиваля искусств, труда и спорта «Самотлорские ночи – 2024».</w:t>
            </w:r>
            <w:r>
              <w:rPr>
                <w:rFonts w:ascii="XO Thames" w:hAnsi="XO Thames" w:cs="XO Thames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Место проведения мероприятия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Набережная реки Обь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Целевая аудитория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жители и гости города, не менее 3 000 чел.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 мероприятия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создание благоприятных условий для организации свободного времени жителей и гостей города, их отдыха и повышения культурного уровня;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повышение интереса к традициям, культуре различных национальных групп России;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создание благоприятных условий для самореализации творческого потенциала творческих коллективов и отдельных исполнителей.</w:t>
            </w:r>
            <w:r>
              <w:rPr>
                <w:rFonts w:ascii="XO Thames" w:hAnsi="XO Thames" w:cs="XO Thames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0"/>
              </w:numPr>
              <w:ind w:left="0" w:firstLine="0"/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повышение узнаваемости города Нижневартовска и популяризации культуры города.</w:t>
            </w:r>
            <w:r>
              <w:rPr>
                <w:rFonts w:ascii="XO Thames" w:hAnsi="XO Thames" w:cs="XO Thames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Характеристики работ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8220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shd w:val="clear" w:color="auto" w:fill="ffffff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и проведение мер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оприятий на набережной реки Обь в рамках фестиваля искусств, труда и спорта «Самотлорские ночи – 2024» с установкой художественного оформления и обеспечением технического, звуко-светового оборудования. 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shd w:val="clear" w:color="auto" w:fill="ffffff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Исполнителю необходимо осуществить следующие виды работ: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contextualSpacing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Исполнитель осуществляет техническое обеспечение мероприятия, программ собственным и/или арендованным оборудованием. 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Техническое обеспечение каждого этапа проведения мероприятий включает следующие виды работ: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5"/>
              </w:numPr>
              <w:ind w:left="709" w:right="0" w:hanging="425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завоз и вывоз оборудования;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4"/>
              </w:numPr>
              <w:ind w:left="709" w:right="0" w:hanging="425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монтаж мобильной крытой сцены;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4"/>
              </w:numPr>
              <w:ind w:left="709" w:right="0" w:hanging="425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монтаж светового оборудования;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4"/>
              </w:numPr>
              <w:ind w:left="709" w:right="0" w:hanging="425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монтаж звукового оборудования;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4"/>
              </w:numPr>
              <w:ind w:left="709" w:right="0" w:hanging="425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монтаж видеооборудования;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4"/>
              </w:numPr>
              <w:ind w:left="709" w:right="0" w:hanging="425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монтаж дополнительного оборудования;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4"/>
              </w:numPr>
              <w:ind w:left="709" w:right="0" w:hanging="425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настройка оборудования;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4"/>
              </w:numPr>
              <w:ind w:left="709" w:right="0" w:hanging="425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сопровождение </w:t>
            </w: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концертных 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программ;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4"/>
              </w:numPr>
              <w:ind w:left="709" w:right="0" w:hanging="425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демонтажные работы по завершению оказания услуг.</w:t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contextualSpacing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Требования к сцене и оборудованию, необходимых к установке. 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XO Thames" w:hAnsi="XO Thames" w:cs="XO Thames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708" w:firstLine="0"/>
              <w:jc w:val="center"/>
              <w:spacing w:before="0"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u w:val="single"/>
                <w:shd w:val="clear" w:color="auto" w:fill="auto"/>
                <w:lang w:eastAsia="ru-RU"/>
              </w:rPr>
              <w:t xml:space="preserve">Звуковое оборудование</w:t>
            </w:r>
            <w:r>
              <w:rPr>
                <w:rFonts w:ascii="XO Thames" w:hAnsi="XO Thames" w:cs="XO Thames"/>
                <w:sz w:val="24"/>
                <w:szCs w:val="24"/>
                <w:u w:val="single"/>
                <w:shd w:val="clear" w:color="auto" w:fill="auto"/>
              </w:rPr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pStyle w:val="856"/>
              <w:ind w:right="0" w:firstLine="0"/>
              <w:jc w:val="left"/>
              <w:spacing w:before="0" w:after="0" w:line="276" w:lineRule="auto"/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val="ru-RU" w:eastAsia="ru-RU"/>
              </w:rPr>
              <w:t xml:space="preserve">А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val="ru-RU" w:eastAsia="ru-RU"/>
              </w:rPr>
              <w:t xml:space="preserve">кустическ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val="ru-RU" w:eastAsia="ru-RU"/>
              </w:rPr>
              <w:t xml:space="preserve">ая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val="ru-RU" w:eastAsia="ru-RU"/>
              </w:rPr>
              <w:t xml:space="preserve"> систем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val="ru-RU" w:eastAsia="ru-RU"/>
              </w:rPr>
              <w:t xml:space="preserve">а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val="ru-RU" w:eastAsia="ru-RU"/>
              </w:rPr>
              <w:t xml:space="preserve"> линейного массива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классом 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не ниже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</w:p>
          <w:p>
            <w:pPr>
              <w:ind w:right="0" w:firstLine="0"/>
              <w:jc w:val="left"/>
              <w:spacing w:before="0" w:after="0" w:line="276" w:lineRule="auto"/>
              <w:rPr>
                <w:rFonts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L-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Acoustics K2</w:t>
            </w:r>
            <w:r>
              <w:rPr>
                <w:b/>
                <w:bCs/>
                <w:sz w:val="24"/>
                <w:szCs w:val="24"/>
              </w:rPr>
            </w:r>
            <w:r/>
          </w:p>
          <w:p>
            <w:pPr>
              <w:pStyle w:val="856"/>
              <w:numPr>
                <w:ilvl w:val="0"/>
                <w:numId w:val="27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— не менее 16 шт.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7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Частотный диапазон(-10 дБ)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— не более 35 Гц — не менее 20 кГц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7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Номинальная направленность (-6 дБ) —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Горизонтальная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993" w:right="0" w:hanging="284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регулируемая: 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110°/70° симметричная; не менее 90°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993" w:right="0" w:hanging="284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ассиметричная (35°/55° или 55°/35°)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8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Вертикальная: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не менее 0° - 10°, регулировка количеством элементов и конфигурацией подвеса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9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Максимальный уровень звукового давления (SPL), 10 дБ, 1 м — 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145 дБ 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0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Мощность, RMS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—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НЧ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динамик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: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не менее 2 x 450 Вт, СЧ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динамик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: не менее 320 Вт, ВЧ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динамик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: не менее 160 Вт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1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Компоненты —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Нч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динамик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: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диаметр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2 x 12'' влагостойкий громкоговоритель,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СЧ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динамик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: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диаметр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не менее 4 x 6,5'' влагостойкий громкоговоритель, 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ВЧ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динамик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: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диаметр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2 x 3'' диафрагма (компрессионный драйвер), DOSC волновод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2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Номинальное сопротивление - НЧ: не менее 2 x 8 Ом, СЧ: не менее 8 Ом, ВЧ: не менее 16 Ом 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3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Подвес —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не менее 4-х точек подвеса, с углами: 0.25, 1, 2 , 3, 4, 5, 7.5 или 10°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4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Размеры: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1338 x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354/286 x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400 мм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4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Вес: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более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56 кг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4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орпус: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Балтийская березовая шлифованная фанера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4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Боковые панели: алюминий 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4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Элементы для подвеса: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стальные, оцинкованные с полимерным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напылением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5"/>
              </w:numPr>
              <w:ind w:left="709" w:right="0" w:hanging="360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Класс защиты: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IP45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Сабвуфер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классом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ниже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L-Acoustics SB28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6"/>
              </w:numPr>
              <w:ind w:left="709" w:right="0" w:hanging="360"/>
              <w:jc w:val="left"/>
              <w:spacing w:before="0" w:after="0" w:line="276" w:lineRule="auto"/>
              <w:tabs>
                <w:tab w:val="clear" w:pos="1287" w:leader="none"/>
              </w:tabs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Количество — 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8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 шт.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6"/>
              </w:numPr>
              <w:ind w:left="709" w:right="0" w:hanging="360"/>
              <w:jc w:val="left"/>
              <w:spacing w:before="0" w:after="0" w:line="276" w:lineRule="auto"/>
              <w:tabs>
                <w:tab w:val="clear" w:pos="1287" w:leader="none"/>
              </w:tabs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Частотный диапазон –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более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val="en-US" w:eastAsia="ru-RU"/>
              </w:rPr>
              <w:t xml:space="preserve">25 Гц –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val="ru-RU" w:eastAsia="ru-RU"/>
              </w:rPr>
              <w:t xml:space="preserve">не менее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val="en-US" w:eastAsia="ru-RU"/>
              </w:rPr>
              <w:t xml:space="preserve">100 Гц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6"/>
              </w:numPr>
              <w:ind w:left="709" w:right="0" w:hanging="360"/>
              <w:jc w:val="left"/>
              <w:spacing w:before="0" w:after="0" w:line="276" w:lineRule="auto"/>
              <w:tabs>
                <w:tab w:val="clear" w:pos="1287" w:leader="none"/>
              </w:tabs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Максимальный уровень звукового давления (SPL) —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не менее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140 дБ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7"/>
              </w:numPr>
              <w:ind w:left="709" w:right="0" w:hanging="360"/>
              <w:jc w:val="left"/>
              <w:spacing w:before="0" w:after="0" w:line="276" w:lineRule="auto"/>
              <w:tabs>
                <w:tab w:val="clear" w:pos="1287" w:leader="none"/>
              </w:tabs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Мощность, RMS —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1225 Вт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7"/>
              </w:numPr>
              <w:ind w:left="709" w:right="0" w:hanging="360"/>
              <w:jc w:val="left"/>
              <w:spacing w:before="0" w:after="0" w:line="276" w:lineRule="auto"/>
              <w:tabs>
                <w:tab w:val="clear" w:pos="1287" w:leader="none"/>
              </w:tabs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Компоненты — НЧ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динамик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: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2 х 18’’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7"/>
              </w:numPr>
              <w:ind w:left="709" w:right="0" w:hanging="360"/>
              <w:jc w:val="left"/>
              <w:spacing w:before="0" w:after="0" w:line="276" w:lineRule="auto"/>
              <w:tabs>
                <w:tab w:val="clear" w:pos="1287" w:leader="none"/>
              </w:tabs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Номинальное сопротивление —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4 Ом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7"/>
              </w:numPr>
              <w:ind w:left="709" w:right="0" w:hanging="360"/>
              <w:jc w:val="left"/>
              <w:spacing w:before="0" w:after="0" w:line="276" w:lineRule="auto"/>
              <w:tabs>
                <w:tab w:val="clear" w:pos="1287" w:leader="none"/>
              </w:tabs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Вес: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более 93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кг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Звуковой м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онитор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со встроенным пассивным кроссовером</w:t>
            </w:r>
            <w:r>
              <w:rPr>
                <w:rFonts w:ascii="XO Thames" w:hAnsi="XO Thames" w:eastAsia="Times New Roman" w:cs="XO Thames"/>
                <w:i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не менее 10 шт.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Частотный диапазон (+/- 3дБ) — не более 50Гц - не менее 18кГц 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полос — не менее 2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Компоненты — </w:t>
            </w: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НЧ динамик диаметр 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15″, ВЧ динамик диаметр не менее 3″ компрессионный драйвер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Номинальная мощность,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AES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— НЧ динамик: не менее 300 Вт. ВЧ динамик: не менее 60Вт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Чувствительность — НЧ динамик: не менее 98дБ, ВЧ динамик: не менее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Максимальное звуковое давление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129 дБ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Размеры — (Ш) не более 660мм x (В) не более 470мм x (Г) не более 500мм  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Вес — не более 32.5кг </w:t>
            </w:r>
            <w:r>
              <w:rPr>
                <w:rFonts w:ascii="XO Thames" w:hAnsi="XO Thames" w:cs="XO Thames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Мониторный рэк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усиления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не менее 3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каналов усиления — не менее 4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3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полос усиления — не менее 2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Клавишная стойка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0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не менее 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0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уровней — не более 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Клавишная стойка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1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не менее 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1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уровней — не менее 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Гитарная стойка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типа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Hercules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2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не менее 3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2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Автозахват -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Стойка для трубы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3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не менее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Пюпитр типа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Proel RSM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4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не менее 10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Подсветка для пюпитра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5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не менее 10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Стойки МИКРОФОННЫЕ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6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- не менее 12 шт.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Цифровой микшерный пульт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ом не ниже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Yamaha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серии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CL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Входные каналы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72 моно,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8 стерео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Конфигурация фейдеров - левая секция: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16 фейдеров, секция Centralogic: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8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фейдеров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, правая секция: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8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фейдеров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, мастер-секция: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2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фейдеров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Встроенная панель индикаторов уровня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аличие карты расширения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Dante –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есть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С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тейджбокс класс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ом не ниже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Yamaha RIO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входов — не менее 32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выходов  - не менее 16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стереовыходов AES/EBU — не менее 4 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Цифровой микшерный пульт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ом не ниже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Allen Heath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серии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dLive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моторизированных фейдеров — не менее 24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ЖК сенсорных дисплеев 12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”-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менне 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линейных входов — не менее 6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линейных выходов — не менее 6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val="ru-RU" w:eastAsia="ru-RU"/>
              </w:rPr>
              <w:t xml:space="preserve">AES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входов — не менее 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AES выходов — не менее 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Наличие карты расширения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Dante –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есть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9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Наличие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USB интерфейс для записи и воспроизведения аудио —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С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тейджбокс класс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ом не ниже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Allen Heath серии dLive DM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0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входов — 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64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выходов  - 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32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4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Частота дискретизации –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 96 кГц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Аналоговый микшерный пульт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1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входов — не менее 4 моно, не менее 2 стерео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1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полос эквалайзера — не менее 3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1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Фантомное питание 48 В -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Активный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Директ бокс 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16 шт.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Басовый кабинет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классом </w:t>
            </w:r>
            <w:r>
              <w:rPr>
                <w:rStyle w:val="1_3043"/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ниже Ampeg SVT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2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2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динамиков — не менее 4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2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Размер динамика — 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10"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2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Мощность — не менее 400 Вт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Бас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гитарный усилитель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классом </w:t>
            </w:r>
            <w:r>
              <w:rPr>
                <w:rStyle w:val="1_3043"/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ниже Ampeg SVT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3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1шт.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3"/>
              </w:numPr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Ламповый преамп + транзисторный оконечник —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3"/>
              </w:numPr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Мощность: не менее 1000 Вт - 4 Ом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3"/>
              </w:numPr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Мощность: не менее 600 Вт - 8 Ом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3"/>
              </w:numPr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Регулировка высоких, низких частот —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3"/>
              </w:numPr>
              <w:jc w:val="left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1_3043"/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5-ти полосная параметрическая середина -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Г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итарный Комбоусилитель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классом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ниже Fender Twin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4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4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Мощность — 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85 ватт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4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динамиков — не менее 2-х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12-дюймовых динамика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4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каналов — не менее 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4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Ламповое вибрато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4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Ламповый пружинный ревербератор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4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2-кнопочный футсвич -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есть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Ударная установка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классом не ниже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YAMAHA stage custom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5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Томы -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12*9,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14*10,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16*16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5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Бас-бочка — 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22*17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5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Рабочий барабан — 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14*5,5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5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Стойка под тарелку — 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7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5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стойка под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Hi-hat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Ударная установка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классом не ниже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YAMAHA stage custom JAZZ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6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Томы — 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12*8,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10*7,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14*13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6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Бас-бочка — 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20*17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6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Рабочий барабан —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14*5,5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6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Стойка под тарелку — не менее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7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6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Стойка под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Hi-hat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Педаль для ударных Iron Cobra —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Стойка под малый барабан —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4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Комплект тарелок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для барабанов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классом не ниже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ZILDJIAN K-custom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8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2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Перкуссионный инструмент Bar Chimes — 1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Перкуссионный инструмент Timbales — 1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лавишный инструмент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клавиш — не менее 88 клавиш чувствительных к скорости нажатия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shd w:val="clear" w:color="auto" w:fill="auto"/>
                <w:lang w:eastAsia="ru-RU"/>
              </w:rPr>
              <w:t xml:space="preserve">Молоточковая клавиатура —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shd w:val="clear" w:color="auto" w:fill="auto"/>
                <w:lang w:eastAsia="ru-RU"/>
              </w:rPr>
              <w:t xml:space="preserve"> есть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shd w:val="clear" w:color="auto" w:fill="auto"/>
                <w:lang w:eastAsia="ru-RU"/>
              </w:rPr>
              <w:t xml:space="preserve">Контроль основного уровня — есть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shd w:val="clear" w:color="auto" w:fill="auto"/>
                <w:lang w:eastAsia="ru-RU"/>
              </w:rPr>
              <w:t xml:space="preserve">Колесо модуляции — есть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программ — не менее 400 программ - 8 банков по 10 страниц каждый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 активных буферов — не менее 5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Индивидуальные настройки слотов — не менее 2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Источники Morph — не менее 3 (колесо модуляции, педаль управления, послекасание)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Общий моновыход - есть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Программируемое транспонирование +/- - не менее 6 полутонов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Функция Master Clock с ручным, внешним и тэппинг-контролем темпа - есть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Внутренний и MIDI-источник синхронизации —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Функция MIDI over USB —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Контроль уровня - есть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Послекасание —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7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Режим редактора клавиатурных зон — есть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Электрогитара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типа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Fender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Stratocaster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1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Гитара акустическая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6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струн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Профессиональные инструментальные микрофоны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классом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ниже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Sennheiser 900-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й и 600-й серии,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Shure Beta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и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ru-RU"/>
              </w:rPr>
              <w:t xml:space="preserve">SM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59"/>
              </w:numPr>
              <w:jc w:val="both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val="ru-RU" w:eastAsia="ru-RU"/>
              </w:rPr>
              <w:t xml:space="preserve">Количество — не менее 18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Комплект из 4х цифровых радиосистем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0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Д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иапазон частот -  от 548.1 до 697.9 MHz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0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Шифрование — не менее 512 бит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0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А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нтенн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ый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усилител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ь —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0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В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ыносны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антенн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ы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Радиомикрофон цифровой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классом не ниже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Shure AXIENT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Система ушного мониторинга In-EAR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классом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ниже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Sennheiser EM-300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1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4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1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А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нтенн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ый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усилител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ь —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1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В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ыносны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антенн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ы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Система ушного мониторинга In-EAR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классом не ниже </w:t>
            </w: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Shure PSM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2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Количество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8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2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А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нтенн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ый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усилител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ь — 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2"/>
              </w:num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В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ыносны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е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антенн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ы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708" w:firstLine="0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Fonts w:ascii="XO Thames" w:hAnsi="XO Thames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708" w:firstLine="0"/>
              <w:jc w:val="center"/>
              <w:spacing w:before="0"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u w:val="single"/>
                <w:shd w:val="clear" w:color="auto" w:fill="auto"/>
                <w:lang w:eastAsia="ru-RU"/>
              </w:rPr>
              <w:t xml:space="preserve">Световое оборудование</w:t>
            </w:r>
            <w:r>
              <w:rPr>
                <w:rFonts w:ascii="XO Thames" w:hAnsi="XO Thames" w:cs="XO Thames"/>
                <w:sz w:val="24"/>
                <w:szCs w:val="24"/>
                <w:u w:val="single"/>
                <w:shd w:val="clear" w:color="auto" w:fill="ffff00"/>
              </w:rPr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val="ru-RU" w:eastAsia="ru-RU"/>
              </w:rPr>
              <w:t xml:space="preserve">Рамповый прожектор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val="ru-RU" w:eastAsia="ru-RU"/>
              </w:rPr>
              <w:t xml:space="preserve">Количество — не менее 16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val="ru-RU" w:eastAsia="ru-RU"/>
              </w:rPr>
              <w:t xml:space="preserve">LED-источник — не менее 15 световых элементов RGBW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Управление - DMX512, master-slave, авто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Количество каналов DMX —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не менее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 11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LCD-дисплей -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есть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Разъемы DMX in/out и Powercon in/out -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есть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Потребляемая мощность —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не более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105 Вт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en-US"/>
              </w:rPr>
              <w:t xml:space="preserve">LED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Прожектор типа PAR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20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ru-RU"/>
              </w:rPr>
              <w:t xml:space="preserve">Количество светодиодов — не менее 4 шт.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Мощность светодиода — не менее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 50 Вт.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Световой поток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не менее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9030 Лм.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Максимальная сила света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не менее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40474 Кд.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Освещен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н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ость на 3м: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не менее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3 214 Люкс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Светодиодный прожектор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типа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 Bee Eye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5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12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5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светодиодов — не менее 19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5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Мощность светодиода — не менее 15 Вт.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5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Цветовая палитра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en-US"/>
              </w:rPr>
              <w:t xml:space="preserve">RGBW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5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ru-RU"/>
              </w:rPr>
              <w:t xml:space="preserve">Зум — от не более 4° до не менее 60°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Светодиодный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Блиндер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6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не менее — 6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6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светодиодов — не менее 25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6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Мощность светодиода — не менее 9 Вт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6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Цветовая палитра -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en-US"/>
              </w:rPr>
              <w:t xml:space="preserve">RGB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ru-RU"/>
              </w:rPr>
              <w:t xml:space="preserve">Сплиттер управления светом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 —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не менее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2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Прожектор Следящего света в кофре укомплектован стойкой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7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7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Мощность — не менее 2500 Вт.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Движущаяся световая голова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типа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en-US"/>
              </w:rPr>
              <w:t xml:space="preserve">Beam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8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ru-RU"/>
              </w:rPr>
              <w:t xml:space="preserve">Количество — не менее 10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8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ru-RU"/>
              </w:rPr>
              <w:t xml:space="preserve">Тип лампы -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en-US"/>
              </w:rPr>
              <w:t xml:space="preserve">10R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Движущаяся световая голова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типа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</w:rPr>
              <w:t xml:space="preserve">SPOT BEAM WASH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6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не менее — 8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Потребляемая мощность —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не более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 300 Вт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Лампа - OSRAM HRI 280W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Цветовая температура —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не менее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8000K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Управление - DMX512, автоматический режим, master-slave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Количество каналов DMX - 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не менее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16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LCD дисплей -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есть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6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Вес —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не более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19кг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Движущаяся световая голова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типа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 WASH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0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12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0"/>
              </w:numPr>
              <w:spacing w:before="0" w:after="0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Количество светодиодов — не менее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108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0"/>
              </w:numPr>
              <w:spacing w:before="0" w:after="0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Мощность светодиода — не менее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 3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Вт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0"/>
              </w:numPr>
              <w:spacing w:before="0" w:after="0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Цветовая палитра -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RGBW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0"/>
              </w:numPr>
              <w:spacing w:before="0" w:after="0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Зум -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 линейный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от не более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7°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до не менее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50°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0"/>
              </w:numPr>
              <w:spacing w:before="0" w:after="0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Управление: DMX512, master-slave, звуковая активация, авто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0"/>
              </w:numPr>
              <w:spacing w:before="0" w:after="0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Количество каналов DMX —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не менее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 11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0"/>
              </w:numPr>
              <w:spacing w:before="0" w:after="0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Потребляемая мощность —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не более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380 Вт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Стробоскоп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1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ru-RU"/>
              </w:rPr>
              <w:t xml:space="preserve">Количество — не менее 4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71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ru-RU"/>
              </w:rPr>
              <w:t xml:space="preserve">Тип лампы - ксеноновая лампа Philips XOP 15 -OF или XOP 7 - OF Xenon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numPr>
                <w:ilvl w:val="0"/>
                <w:numId w:val="71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Цветовая температура —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не менее </w:t>
            </w:r>
            <w:r>
              <w:rPr>
                <w:rFonts w:ascii="XO Thames" w:hAnsi="XO Thames" w:cs="XO Thames"/>
                <w:sz w:val="24"/>
                <w:szCs w:val="24"/>
              </w:rPr>
              <w:t xml:space="preserve">5600 К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Дым машина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2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2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Мощность — не менее 1300 Вт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Вентилятор для дым-машины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-  не менее 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Управление -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en-US"/>
              </w:rPr>
              <w:t xml:space="preserve">DMX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ru-RU"/>
              </w:rPr>
              <w:t xml:space="preserve">Система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 управления светом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каналов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en-US"/>
              </w:rPr>
              <w:t xml:space="preserve">DMX –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  <w:lang w:val="ru-RU"/>
              </w:rPr>
              <w:t xml:space="preserve">не менее 2048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708" w:firstLine="0"/>
              <w:jc w:val="center"/>
              <w:spacing w:before="0"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u w:val="single"/>
                <w:shd w:val="clear" w:color="auto" w:fill="auto"/>
                <w:lang w:eastAsia="ru-RU"/>
              </w:rPr>
              <w:t xml:space="preserve">Сцена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</w:rPr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Сценический подиум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5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Ширина — не мнее 13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5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Глубина — не менее 10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5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Высота — не менее 1.7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Крытый сценический павильон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6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Ширина — не менее 13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6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Глубина — не менее 10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6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Высота подъема -  не менее 8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  <w:lang w:eastAsia="ru-RU"/>
              </w:rPr>
              <w:t xml:space="preserve">П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ортал для звукового оборудования с крышей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7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Количество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не менее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Лестница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8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8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Высота подъема — не менее 1.7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8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Ширина — не менее 2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Пультовая палатка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2 шт.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79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Размер — ширина не менее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3м,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глубина не менее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4"/>
                <w:szCs w:val="24"/>
                <w:u w:val="none"/>
                <w:shd w:val="clear" w:color="auto" w:fill="auto"/>
              </w:rPr>
              <w:t xml:space="preserve"> 3м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Лебедка цепная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0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Тип - электрическая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0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0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Грузоподъемность — не менее 1000 кг.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0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Скорость подъема — не менее 4 м/мин.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0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Длина цепи — не менее 18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Лебедка цепная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1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Тип - электрическая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1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6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1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Грузоподъемность — не менее 1000 кг.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1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Скорость подъема — не менее 4 м/мин.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1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Длина цепи — не менее 24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Спансет черный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2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Количество — не менее 12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2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Грузоподъемность — не менее 2000 кг.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2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Полезная длина — не менее 4 м.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Комплект силовых кабелей и сигнальной коммутации — 1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Кабельный канал (1000 х 500 х 55mm) —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не менее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40 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м</w:t>
            </w: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i w:val="0"/>
                <w:strike w:val="0"/>
                <w:sz w:val="24"/>
                <w:szCs w:val="24"/>
                <w:u w:val="none"/>
                <w:shd w:val="clear" w:color="auto" w:fill="auto"/>
              </w:rPr>
              <w:t xml:space="preserve">Силовой Рэк  125A — 1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708" w:firstLine="0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708" w:firstLine="0"/>
              <w:jc w:val="center"/>
              <w:spacing w:before="0"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u w:val="single"/>
                <w:shd w:val="clear" w:color="auto" w:fill="auto"/>
                <w:lang w:eastAsia="ru-RU"/>
              </w:rPr>
              <w:t xml:space="preserve">Видео обеспечение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</w:rPr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Рэк управления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К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омпьютер — 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Монитор —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3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П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лат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а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 захвата и распределения сигнала – 1 шт.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Светодиодный экран для улицы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Ш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аг пикселя — 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не более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 3,9 мм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84"/>
              </w:numPr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Площадь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не менее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 28 м. кв.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Видео микшер – 1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Н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оутбук с предустановленным Resolume 7 – 1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К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вадратор – 1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К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омплект силовых кабелей и сигнальной коммутации – 1 комплект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К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абельный канал (1000 х 500 х 55mm) – 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30 м.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С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истема трехфазной стабилизации напряжения мощностью до 30кВт – 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2 шт. 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left="1" w:firstLine="0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Б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лок распределения питания 63 А – 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не менее 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С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иловой Рэк DMX512 + сплиттинг Dmx, 125A - 1 шт.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sz w:val="24"/>
                <w:szCs w:val="24"/>
                <w:highlight w:val="white"/>
                <w:shd w:val="clear" w:color="auto" w:fill="ffffff"/>
              </w:rPr>
              <w:t xml:space="preserve">Характеристика художественного оформления:</w:t>
            </w:r>
            <w:r>
              <w:rPr>
                <w:sz w:val="24"/>
                <w:szCs w:val="24"/>
                <w:highlight w:val="white"/>
                <w:shd w:val="clear" w:color="auto" w:fill="ffffff"/>
                <w14:ligatures w14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numPr>
                <w:ilvl w:val="0"/>
                <w:numId w:val="26"/>
              </w:numPr>
              <w:ind w:left="709" w:right="0" w:hanging="283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sz w:val="24"/>
                <w:szCs w:val="24"/>
                <w:highlight w:val="white"/>
                <w:shd w:val="clear" w:color="auto" w:fill="ffffff"/>
              </w:rPr>
              <w:t xml:space="preserve">использование баннера с полноцветной печатью;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numPr>
                <w:ilvl w:val="0"/>
                <w:numId w:val="26"/>
              </w:numPr>
              <w:ind w:left="709" w:right="0" w:hanging="283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sz w:val="24"/>
                <w:szCs w:val="24"/>
                <w:highlight w:val="white"/>
                <w:shd w:val="clear" w:color="auto" w:fill="ffffff"/>
              </w:rPr>
              <w:t xml:space="preserve">баннерная сетка с полноцветной печатью;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numPr>
                <w:ilvl w:val="0"/>
                <w:numId w:val="26"/>
              </w:numPr>
              <w:ind w:left="709" w:right="0" w:hanging="283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sz w:val="24"/>
                <w:szCs w:val="24"/>
                <w:highlight w:val="white"/>
                <w:shd w:val="clear" w:color="auto" w:fill="ffffff"/>
              </w:rPr>
              <w:t xml:space="preserve">использование люверсов по периметру для надежности монтажа, присутствие эмблем и символики фестиваля;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numPr>
                <w:ilvl w:val="0"/>
                <w:numId w:val="26"/>
              </w:numPr>
              <w:ind w:left="709" w:right="0" w:hanging="283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sz w:val="24"/>
                <w:szCs w:val="24"/>
                <w:highlight w:val="white"/>
                <w:shd w:val="clear" w:color="auto" w:fill="ffffff"/>
              </w:rPr>
              <w:t xml:space="preserve">предоставить флажные конструкции мобильного типа с утяжелителями, высота флага 3,70 м. и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9,00 м.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numPr>
                <w:ilvl w:val="0"/>
                <w:numId w:val="26"/>
              </w:numPr>
              <w:ind w:left="709" w:right="0" w:hanging="283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sz w:val="24"/>
                <w:szCs w:val="24"/>
                <w:highlight w:val="white"/>
                <w:shd w:val="clear" w:color="auto" w:fill="ffffff"/>
              </w:rPr>
              <w:t xml:space="preserve">изображение на флагах символики фестиваля, логотипы символики фестиваля;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numPr>
                <w:ilvl w:val="0"/>
                <w:numId w:val="26"/>
              </w:numPr>
              <w:ind w:left="709" w:right="0" w:hanging="283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sz w:val="24"/>
                <w:szCs w:val="24"/>
                <w:highlight w:val="white"/>
                <w:shd w:val="clear" w:color="auto" w:fill="ffffff"/>
              </w:rPr>
              <w:t xml:space="preserve">монтаж и демонтаж флагов на территории, задействованной для проведения фестиваля;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numPr>
                <w:ilvl w:val="0"/>
                <w:numId w:val="26"/>
              </w:numPr>
              <w:ind w:left="709" w:right="0" w:hanging="283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sz w:val="24"/>
                <w:szCs w:val="24"/>
                <w:highlight w:val="white"/>
                <w:shd w:val="clear" w:color="auto" w:fill="ffffff"/>
              </w:rPr>
              <w:t xml:space="preserve">концептуальное комплексное оформление территории проведения фестиваля;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numPr>
                <w:ilvl w:val="0"/>
                <w:numId w:val="26"/>
              </w:numPr>
              <w:ind w:left="709" w:right="0" w:hanging="283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sz w:val="24"/>
                <w:szCs w:val="24"/>
                <w:highlight w:val="white"/>
                <w:shd w:val="clear" w:color="auto" w:fill="ffffff"/>
              </w:rPr>
              <w:t xml:space="preserve"> </w:t>
            </w:r>
            <w:r>
              <w:rPr>
                <w:rFonts w:ascii="XO Thames" w:hAnsi="XO Thames" w:cs="XO Thames"/>
                <w:bCs/>
                <w:sz w:val="24"/>
                <w:szCs w:val="24"/>
                <w:highlight w:val="white"/>
                <w:shd w:val="clear" w:color="auto" w:fill="ffffff"/>
              </w:rPr>
              <w:t xml:space="preserve">предоставление (изготовление) и оформление лестниц подиумов</w:t>
            </w:r>
            <w:r>
              <w:rPr>
                <w:rFonts w:ascii="XO Thames" w:hAnsi="XO Thames" w:cs="XO Thames"/>
                <w:bCs/>
                <w:sz w:val="24"/>
                <w:szCs w:val="24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numPr>
                <w:ilvl w:val="0"/>
                <w:numId w:val="26"/>
              </w:numPr>
              <w:ind w:left="709" w:right="0" w:hanging="283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sz w:val="24"/>
                <w:szCs w:val="24"/>
                <w:highlight w:val="none"/>
                <w:shd w:val="clear" w:color="auto" w:fill="ffffff"/>
              </w:rPr>
              <w:t xml:space="preserve">разработка и печать полиграфии (после согласования с организатором конкурса).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color w:val="ff0000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Перечень материалов используемых для изготовления декораций.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shd w:val="clear" w:color="auto" w:fill="ffffff"/>
              </w:rPr>
              <w:t xml:space="preserve">Профильная труба, многослойная ламинированная фанера, краска, метизы, баннер различной толщины, баннерная сетка, флажная ткань, люверсы, ФБС блоки, разные виды ткани с печатью и без.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shd w:val="clear" w:color="auto" w:fill="ffffff"/>
              </w:rPr>
              <w:t xml:space="preserve">Примечание. Возможно изменение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конструктива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shd w:val="clear" w:color="auto" w:fill="ffffff"/>
              </w:rPr>
              <w:t xml:space="preserve"> сцены с учетом режиссерского замысла в пределах объема предоставленных финансовых средств.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283" w:right="0" w:hanging="709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sz w:val="24"/>
                <w:szCs w:val="24"/>
                <w:shd w:val="clear" w:color="auto" w:fill="ffffff"/>
              </w:rPr>
            </w:r>
            <w:r>
              <w:rPr>
                <w:rFonts w:ascii="XO Thames" w:hAnsi="XO Thames" w:cs="XO Thames"/>
                <w:b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contextualSpacing/>
              <w:ind w:left="288" w:firstLine="0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Примечание.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42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В части организации мероприятий: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42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Сценический ком</w:t>
            </w: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плекс, включая все оборудование, должен соответствовать всем мерам безопасности, все оборудование должно быть заземлено, защищено от скачков напряжения. Звуковое оборудование должно питаться от отдельной фазы, независимой от светового и видео оборудования.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ind w:firstLine="284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Обеспечить соблюдение техники безопасности и пожарной безопасности, а именно:</w:t>
            </w:r>
            <w:r>
              <w:rPr>
                <w:rFonts w:ascii="XO Thames" w:hAnsi="XO Thames" w:cs="XO Thames"/>
                <w:bCs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3"/>
              </w:numPr>
              <w:contextualSpacing/>
              <w:ind w:left="0" w:right="0" w:firstLine="425"/>
              <w:jc w:val="both"/>
              <w:spacing w:before="0" w:after="0" w:line="240" w:lineRule="auto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исполнитель несет ответственность за техническое состояние любого используемого им оборудования</w:t>
            </w: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  <w:r>
              <w:rPr>
                <w:rFonts w:ascii="XO Thames" w:hAnsi="XO Thames" w:cs="XO Thames"/>
                <w:bCs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23"/>
              </w:numPr>
              <w:contextualSpacing/>
              <w:ind w:left="0" w:right="0" w:firstLine="360"/>
              <w:jc w:val="both"/>
              <w:spacing w:before="0" w:after="0" w:line="240" w:lineRule="auto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  <w:r>
              <w:rPr>
                <w:rFonts w:ascii="XO Thames" w:hAnsi="XO Thames" w:cs="XO Thames"/>
                <w:bCs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contextualSpacing/>
              <w:ind w:left="1" w:firstLine="425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График оказания услуг по техническому обеспечению концертных программ: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Завоз оборудования на набережную реки «Обь»: c</w:t>
            </w:r>
            <w:r>
              <w:rPr>
                <w:rFonts w:ascii="XO Thames" w:hAnsi="XO Thames" w:eastAsia="Times New Roman" w:cs="XO Thames"/>
                <w:bCs/>
                <w:sz w:val="24"/>
                <w:szCs w:val="24"/>
                <w:highlight w:val="white"/>
                <w:shd w:val="clear" w:color="auto" w:fill="ffff00"/>
                <w:lang w:eastAsia="ru-RU"/>
              </w:rPr>
              <w:t xml:space="preserve"> 13.06.2024г.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Монтаж и наладка оборудования: с 13.06.2024 по 14.06.2024г. (до 15.00 часов местного времени).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Комплексное обслуживание мероприятий 14.06-2024 -16.09.2024г.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XO Thames" w:hAnsi="XO Thames" w:eastAsia="Times New Roman" w:cs="XO Thames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Демонтаж оборудования: 17.06.2024г.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0"/>
              </w:numPr>
              <w:contextualSpacing/>
              <w:ind w:firstLine="426"/>
              <w:jc w:val="both"/>
              <w:spacing w:before="0" w:after="0" w:line="240" w:lineRule="auto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Исполнитель организует интерактивные развлекательные мероприятия: 14 -16 июня 2024 г. на набережной реки «Обь»: 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обеспечивает приглашение артистов и их выступление (включая трансфер, проживание и питание).</w:t>
            </w:r>
            <w:r>
              <w:rPr>
                <w:rFonts w:ascii="XO Thames" w:hAnsi="XO Thames" w:cs="XO Thames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0"/>
              </w:numPr>
              <w:ind w:firstLine="317"/>
              <w:jc w:val="both"/>
              <w:spacing w:before="0" w:after="0" w:line="240" w:lineRule="auto"/>
              <w:rPr>
                <w:rFonts w:ascii="XO Thames" w:hAnsi="XO Thames" w:cs="XO Thames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single"/>
                <w14:ligatures w14:val="non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Исполнитель имеет право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мероприятия.</w:t>
            </w:r>
            <w:r>
              <w:rPr>
                <w:rFonts w:ascii="XO Thames" w:hAnsi="XO Thames" w:cs="XO Thames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оказываемых услуг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6690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Исполнитель: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</w:t>
            </w:r>
            <w:r>
              <w:rPr>
                <w:rFonts w:ascii="XO Thames" w:hAnsi="XO Thames" w:eastAsia="Times New Roman" w:cs="XO Thames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Обязуется предоставить техническое обеспечение, звуковое обеспечение, световое обеспечение и художественное оформление мероприятий на набережной реки Обь и организовать не менее трех мероприятий, продолжительностью не менее 1 часа.</w:t>
            </w:r>
            <w:r>
              <w:rPr>
                <w:rFonts w:ascii="XO Thames" w:hAnsi="XO Thames" w:cs="XO Thames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color w:val="000000"/>
                <w:sz w:val="24"/>
                <w:szCs w:val="24"/>
                <w:lang w:eastAsia="ru-RU"/>
              </w:rPr>
              <w:t xml:space="preserve">Обеспечение безопасности</w:t>
            </w:r>
            <w:r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6690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eastAsia="Times New Roman" w:cs="XO Thames"/>
                <w:sz w:val="24"/>
                <w:szCs w:val="24"/>
                <w:lang w:eastAsia="ru-RU"/>
              </w:rPr>
              <w:t xml:space="preserve">Организация и проведение мероприятия дол</w:t>
            </w:r>
            <w:r>
              <w:rPr>
                <w:rFonts w:ascii="XO Thames" w:hAnsi="XO Thames" w:eastAsia="Times New Roman" w:cs="XO Thames"/>
                <w:sz w:val="24"/>
                <w:szCs w:val="24"/>
                <w:lang w:eastAsia="ru-RU"/>
              </w:rPr>
              <w:t xml:space="preserve">жны быть осуществлены исполнителем в соответствии с постановлением администрации города от 26.06.2013 №1277 «Об организации и проведении разовых массовых мероприятий в городе Нижневартовске и обеспечении антитеррористической безопасности при их проведении»</w:t>
            </w:r>
            <w:r>
              <w:rPr>
                <w:rFonts w:ascii="XO Thames" w:hAnsi="XO Thames" w:cs="XO Thames"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73"/>
        <w:ind w:right="-2"/>
        <w:jc w:val="left"/>
      </w:pPr>
      <w:r/>
      <w:r/>
    </w:p>
    <w:sectPr>
      <w:footnotePr/>
      <w:endnotePr/>
      <w:type w:val="nextPage"/>
      <w:pgSz w:w="11906" w:h="16838" w:orient="portrait"/>
      <w:pgMar w:top="1134" w:right="567" w:bottom="1134" w:left="1701" w:header="0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OpenSymbol">
    <w:panose1 w:val="05010000000000000000"/>
  </w:font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6040504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5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856"/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5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6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6"/>
        <w:ind w:left="1065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56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6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6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6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6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6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6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6"/>
        <w:ind w:left="6825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56"/>
        <w:ind w:left="720" w:hanging="360"/>
      </w:pPr>
      <w:rPr>
        <w:rFonts w:ascii="Symbol" w:hAnsi="Symbol"/>
      </w:rPr>
    </w:lvl>
    <w:lvl w:ilvl="1">
      <w:start w:val="0"/>
      <w:numFmt w:val="bullet"/>
      <w:isLgl w:val="false"/>
      <w:suff w:val="tab"/>
      <w:lvlText w:val="•"/>
      <w:lvlJc w:val="left"/>
      <w:pPr>
        <w:pStyle w:val="856"/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pStyle w:val="85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6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5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6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6"/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5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856"/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5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6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pStyle w:val="856"/>
        <w:ind w:left="2041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856"/>
        <w:ind w:left="276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6"/>
        <w:ind w:left="348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6"/>
        <w:ind w:left="420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6"/>
        <w:ind w:left="492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6"/>
        <w:ind w:left="564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6"/>
        <w:ind w:left="636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6"/>
        <w:ind w:left="708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6"/>
        <w:ind w:left="7801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56"/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856"/>
        <w:ind w:left="1506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56"/>
        <w:ind w:left="2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6"/>
        <w:ind w:left="2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6"/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6"/>
        <w:ind w:left="4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6"/>
        <w:ind w:left="5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6"/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6"/>
        <w:ind w:left="6546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5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856"/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5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6"/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56"/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5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6"/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5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6"/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5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856"/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5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6"/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7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777" w:hanging="360"/>
      </w:pPr>
      <w:rPr>
        <w:rFonts w:hint="default"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7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7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7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7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777" w:hanging="360"/>
      </w:pPr>
      <w:rPr>
        <w:rFonts w:hint="default"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7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7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7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cs="Arial"/>
        <w:b w:val="0"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cs="Wingdings"/>
        <w:b w:val="0"/>
        <w:sz w:val="23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cs="Wingdings"/>
        <w:b w:val="0"/>
        <w:sz w:val="23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cs="Wingdings"/>
        <w:b w:val="0"/>
        <w:sz w:val="23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cs="Arial"/>
        <w:b w:val="0"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cs="Wingdings"/>
        <w:b w:val="0"/>
        <w:sz w:val="23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cs="Wingdings"/>
        <w:b w:val="0"/>
        <w:sz w:val="23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cs="Wingdings"/>
        <w:b w:val="0"/>
        <w:sz w:val="23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cs="Arial"/>
        <w:b w:val="0"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cs="Wingdings"/>
        <w:b w:val="0"/>
        <w:sz w:val="23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cs="Wingdings"/>
        <w:b w:val="0"/>
        <w:sz w:val="23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cs="Wingdings"/>
        <w:b w:val="0"/>
        <w:sz w:val="23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647" w:hanging="360"/>
        <w:tabs>
          <w:tab w:val="num" w:pos="1647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007" w:hanging="360"/>
        <w:tabs>
          <w:tab w:val="num" w:pos="2007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67" w:hanging="360"/>
        <w:tabs>
          <w:tab w:val="num" w:pos="23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727" w:hanging="360"/>
        <w:tabs>
          <w:tab w:val="num" w:pos="2727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87" w:hanging="360"/>
        <w:tabs>
          <w:tab w:val="num" w:pos="3087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807" w:hanging="360"/>
        <w:tabs>
          <w:tab w:val="num" w:pos="3807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67" w:hanging="360"/>
        <w:tabs>
          <w:tab w:val="num" w:pos="4167" w:leader="none"/>
        </w:tabs>
      </w:pPr>
      <w:rPr>
        <w:rFonts w:hint="default" w:ascii="OpenSymbol" w:hAnsi="OpenSymbol" w:cs="Open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1" w:hanging="360"/>
        <w:tabs>
          <w:tab w:val="num" w:pos="72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1" w:hanging="360"/>
        <w:tabs>
          <w:tab w:val="num" w:pos="1081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1" w:hanging="360"/>
        <w:tabs>
          <w:tab w:val="num" w:pos="1441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1" w:hanging="360"/>
        <w:tabs>
          <w:tab w:val="num" w:pos="1801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1" w:hanging="360"/>
        <w:tabs>
          <w:tab w:val="num" w:pos="2161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1" w:hanging="360"/>
        <w:tabs>
          <w:tab w:val="num" w:pos="2521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1" w:hanging="360"/>
        <w:tabs>
          <w:tab w:val="num" w:pos="2881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1" w:hanging="360"/>
        <w:tabs>
          <w:tab w:val="num" w:pos="3241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1" w:hanging="360"/>
        <w:tabs>
          <w:tab w:val="num" w:pos="3601" w:leader="none"/>
        </w:tabs>
      </w:pPr>
      <w:rPr>
        <w:rFonts w:hint="default" w:ascii="OpenSymbol" w:hAnsi="OpenSymbol" w:cs="OpenSymbol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color w:val="000000"/>
      <w:sz w:val="28"/>
      <w:szCs w:val="28"/>
      <w:lang w:val="ru-RU" w:eastAsia="ru-RU" w:bidi="ar-SA"/>
    </w:rPr>
  </w:style>
  <w:style w:type="paragraph" w:styleId="857">
    <w:name w:val="Заголовок 1"/>
    <w:basedOn w:val="856"/>
    <w:next w:val="856"/>
    <w:link w:val="882"/>
    <w:qFormat/>
    <w:pPr>
      <w:jc w:val="center"/>
      <w:keepNext/>
      <w:outlineLvl w:val="0"/>
    </w:pPr>
    <w:rPr>
      <w:b/>
      <w:color w:val="000000"/>
      <w:sz w:val="32"/>
      <w:szCs w:val="20"/>
    </w:rPr>
  </w:style>
  <w:style w:type="paragraph" w:styleId="858">
    <w:name w:val="Заголовок 2"/>
    <w:basedOn w:val="856"/>
    <w:next w:val="856"/>
    <w:link w:val="856"/>
    <w:qFormat/>
    <w:pPr>
      <w:ind w:right="-24"/>
      <w:jc w:val="center"/>
      <w:keepNext/>
      <w:tabs>
        <w:tab w:val="left" w:pos="7371" w:leader="none"/>
        <w:tab w:val="left" w:pos="8306" w:leader="none"/>
      </w:tabs>
      <w:outlineLvl w:val="1"/>
    </w:pPr>
    <w:rPr>
      <w:b/>
      <w:bCs/>
      <w:caps/>
    </w:rPr>
  </w:style>
  <w:style w:type="paragraph" w:styleId="859">
    <w:name w:val="Заголовок 3"/>
    <w:basedOn w:val="856"/>
    <w:next w:val="856"/>
    <w:link w:val="856"/>
    <w:qFormat/>
    <w:pPr>
      <w:jc w:val="center"/>
      <w:keepNext/>
      <w:outlineLvl w:val="2"/>
    </w:pPr>
    <w:rPr>
      <w:rFonts w:eastAsia="Arial Unicode MS"/>
      <w:b/>
      <w:color w:val="000000"/>
      <w:szCs w:val="20"/>
    </w:rPr>
  </w:style>
  <w:style w:type="paragraph" w:styleId="860">
    <w:name w:val="Заголовок 4"/>
    <w:basedOn w:val="856"/>
    <w:next w:val="856"/>
    <w:link w:val="856"/>
    <w:qFormat/>
    <w:pPr>
      <w:jc w:val="right"/>
      <w:keepNext/>
      <w:outlineLvl w:val="3"/>
    </w:pPr>
    <w:rPr>
      <w:rFonts w:eastAsia="Arial Unicode MS"/>
      <w:color w:val="000000"/>
      <w:szCs w:val="24"/>
    </w:rPr>
  </w:style>
  <w:style w:type="paragraph" w:styleId="861">
    <w:name w:val="Заголовок 5"/>
    <w:basedOn w:val="856"/>
    <w:next w:val="856"/>
    <w:link w:val="856"/>
    <w:qFormat/>
    <w:pPr>
      <w:jc w:val="center"/>
      <w:keepNext/>
      <w:outlineLvl w:val="4"/>
    </w:pPr>
    <w:rPr>
      <w:rFonts w:eastAsia="Arial Unicode MS"/>
      <w:color w:val="000000"/>
      <w:szCs w:val="24"/>
    </w:rPr>
  </w:style>
  <w:style w:type="paragraph" w:styleId="862">
    <w:name w:val="Заголовок 6"/>
    <w:basedOn w:val="856"/>
    <w:next w:val="856"/>
    <w:link w:val="856"/>
    <w:qFormat/>
    <w:pPr>
      <w:ind w:left="5040"/>
      <w:keepNext/>
      <w:outlineLvl w:val="5"/>
    </w:pPr>
    <w:rPr>
      <w:b/>
      <w:bCs/>
      <w:color w:val="000000"/>
      <w:szCs w:val="24"/>
    </w:rPr>
  </w:style>
  <w:style w:type="paragraph" w:styleId="863">
    <w:name w:val="Заголовок 7"/>
    <w:basedOn w:val="856"/>
    <w:next w:val="856"/>
    <w:link w:val="856"/>
    <w:qFormat/>
    <w:pPr>
      <w:ind w:firstLine="5236"/>
      <w:keepNext/>
      <w:outlineLvl w:val="6"/>
    </w:pPr>
    <w:rPr>
      <w:rFonts w:ascii="Arial" w:hAnsi="Arial" w:cs="Arial"/>
      <w:b/>
      <w:bCs/>
      <w:sz w:val="20"/>
    </w:rPr>
  </w:style>
  <w:style w:type="paragraph" w:styleId="864">
    <w:name w:val="Заголовок 8"/>
    <w:basedOn w:val="856"/>
    <w:next w:val="856"/>
    <w:link w:val="856"/>
    <w:qFormat/>
    <w:pPr>
      <w:jc w:val="center"/>
      <w:keepNext/>
      <w:outlineLvl w:val="7"/>
    </w:pPr>
    <w:rPr>
      <w:b/>
      <w:bCs/>
    </w:rPr>
  </w:style>
  <w:style w:type="paragraph" w:styleId="865">
    <w:name w:val="Заголовок 9"/>
    <w:basedOn w:val="856"/>
    <w:next w:val="856"/>
    <w:link w:val="856"/>
    <w:qFormat/>
    <w:pPr>
      <w:keepNext/>
      <w:outlineLvl w:val="8"/>
    </w:pPr>
    <w:rPr>
      <w:b/>
      <w:szCs w:val="22"/>
    </w:rPr>
  </w:style>
  <w:style w:type="character" w:styleId="866">
    <w:name w:val="Основной шрифт абзаца"/>
    <w:next w:val="866"/>
    <w:link w:val="856"/>
    <w:semiHidden/>
  </w:style>
  <w:style w:type="table" w:styleId="867">
    <w:name w:val="Обычная таблица"/>
    <w:next w:val="867"/>
    <w:link w:val="856"/>
    <w:uiPriority w:val="99"/>
    <w:semiHidden/>
    <w:unhideWhenUsed/>
    <w:tblPr/>
  </w:style>
  <w:style w:type="numbering" w:styleId="868">
    <w:name w:val="Нет списка"/>
    <w:next w:val="868"/>
    <w:link w:val="856"/>
    <w:uiPriority w:val="99"/>
    <w:semiHidden/>
    <w:unhideWhenUsed/>
  </w:style>
  <w:style w:type="paragraph" w:styleId="869">
    <w:name w:val="Название"/>
    <w:basedOn w:val="856"/>
    <w:next w:val="869"/>
    <w:link w:val="883"/>
    <w:qFormat/>
    <w:pPr>
      <w:jc w:val="center"/>
    </w:pPr>
    <w:rPr>
      <w:b/>
      <w:bCs/>
      <w:color w:val="000000"/>
      <w:sz w:val="36"/>
      <w:szCs w:val="24"/>
    </w:rPr>
  </w:style>
  <w:style w:type="paragraph" w:styleId="870">
    <w:name w:val="заголовок 4"/>
    <w:basedOn w:val="856"/>
    <w:next w:val="856"/>
    <w:link w:val="856"/>
    <w:pPr>
      <w:jc w:val="center"/>
      <w:keepNext/>
    </w:pPr>
    <w:rPr>
      <w:b/>
      <w:color w:val="000000"/>
      <w:sz w:val="60"/>
      <w:szCs w:val="20"/>
    </w:rPr>
  </w:style>
  <w:style w:type="paragraph" w:styleId="871">
    <w:name w:val="Основной текст с отступом"/>
    <w:basedOn w:val="856"/>
    <w:next w:val="871"/>
    <w:link w:val="856"/>
    <w:semiHidden/>
    <w:pPr>
      <w:ind w:right="396" w:firstLine="840"/>
      <w:jc w:val="both"/>
      <w:tabs>
        <w:tab w:val="left" w:pos="7371" w:leader="none"/>
        <w:tab w:val="left" w:pos="8306" w:leader="none"/>
        <w:tab w:val="left" w:pos="9072" w:leader="none"/>
      </w:tabs>
    </w:pPr>
  </w:style>
  <w:style w:type="paragraph" w:styleId="872">
    <w:name w:val="Основной текст 2"/>
    <w:basedOn w:val="856"/>
    <w:next w:val="872"/>
    <w:link w:val="856"/>
    <w:semiHidden/>
    <w:rPr>
      <w:b/>
      <w:color w:val="000000"/>
      <w:sz w:val="24"/>
      <w:szCs w:val="20"/>
    </w:rPr>
  </w:style>
  <w:style w:type="paragraph" w:styleId="873">
    <w:name w:val="Основной текст"/>
    <w:basedOn w:val="856"/>
    <w:next w:val="873"/>
    <w:link w:val="887"/>
    <w:pPr>
      <w:jc w:val="both"/>
    </w:pPr>
    <w:rPr>
      <w:bCs/>
      <w:color w:val="000000"/>
      <w:szCs w:val="24"/>
    </w:rPr>
  </w:style>
  <w:style w:type="paragraph" w:styleId="874">
    <w:name w:val="Название объекта"/>
    <w:basedOn w:val="856"/>
    <w:next w:val="856"/>
    <w:link w:val="856"/>
    <w:qFormat/>
    <w:pPr>
      <w:ind w:left="5600" w:right="518"/>
      <w:jc w:val="center"/>
    </w:pPr>
    <w:rPr>
      <w:b/>
      <w:bCs/>
    </w:rPr>
  </w:style>
  <w:style w:type="paragraph" w:styleId="875">
    <w:name w:val="Основной текст с отступом 2"/>
    <w:basedOn w:val="856"/>
    <w:next w:val="875"/>
    <w:link w:val="856"/>
    <w:semiHidden/>
    <w:pPr>
      <w:ind w:firstLine="700"/>
      <w:jc w:val="both"/>
    </w:pPr>
  </w:style>
  <w:style w:type="paragraph" w:styleId="876">
    <w:name w:val="Обычный1"/>
    <w:next w:val="876"/>
    <w:link w:val="856"/>
    <w:rPr>
      <w:sz w:val="24"/>
      <w:lang w:val="ru-RU" w:eastAsia="ru-RU" w:bidi="ar-SA"/>
    </w:rPr>
  </w:style>
  <w:style w:type="paragraph" w:styleId="877">
    <w:name w:val="заголовок 5"/>
    <w:basedOn w:val="856"/>
    <w:next w:val="856"/>
    <w:link w:val="856"/>
    <w:pPr>
      <w:jc w:val="both"/>
      <w:keepNext/>
    </w:pPr>
    <w:rPr>
      <w:color w:val="000000"/>
      <w:szCs w:val="20"/>
    </w:rPr>
  </w:style>
  <w:style w:type="paragraph" w:styleId="878">
    <w:name w:val="Основной текст с отступом 3"/>
    <w:basedOn w:val="856"/>
    <w:next w:val="878"/>
    <w:link w:val="856"/>
    <w:semiHidden/>
    <w:pPr>
      <w:ind w:firstLine="720"/>
      <w:jc w:val="both"/>
    </w:pPr>
  </w:style>
  <w:style w:type="paragraph" w:styleId="879">
    <w:name w:val="Основной текст 3"/>
    <w:basedOn w:val="856"/>
    <w:next w:val="879"/>
    <w:link w:val="856"/>
    <w:semiHidden/>
    <w:pPr>
      <w:jc w:val="both"/>
    </w:pPr>
  </w:style>
  <w:style w:type="paragraph" w:styleId="880">
    <w:name w:val="Подзаголовок"/>
    <w:basedOn w:val="856"/>
    <w:next w:val="880"/>
    <w:link w:val="856"/>
    <w:qFormat/>
    <w:pPr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881">
    <w:name w:val="Абзац списка"/>
    <w:basedOn w:val="856"/>
    <w:next w:val="881"/>
    <w:link w:val="856"/>
    <w:uiPriority w:val="34"/>
    <w:qFormat/>
    <w:pPr>
      <w:ind w:left="708"/>
    </w:pPr>
  </w:style>
  <w:style w:type="character" w:styleId="882">
    <w:name w:val="Заголовок 1 Знак"/>
    <w:next w:val="882"/>
    <w:link w:val="857"/>
    <w:rPr>
      <w:b/>
      <w:sz w:val="32"/>
    </w:rPr>
  </w:style>
  <w:style w:type="character" w:styleId="883">
    <w:name w:val="Название Знак"/>
    <w:next w:val="883"/>
    <w:link w:val="869"/>
    <w:rPr>
      <w:b/>
      <w:bCs/>
      <w:sz w:val="36"/>
      <w:szCs w:val="24"/>
    </w:rPr>
  </w:style>
  <w:style w:type="paragraph" w:styleId="884">
    <w:name w:val="Текст выноски"/>
    <w:basedOn w:val="856"/>
    <w:next w:val="884"/>
    <w:link w:val="885"/>
    <w:uiPriority w:val="99"/>
    <w:semiHidden/>
    <w:unhideWhenUsed/>
    <w:rPr>
      <w:rFonts w:ascii="Tahoma" w:hAnsi="Tahoma" w:cs="Tahoma"/>
      <w:sz w:val="16"/>
      <w:szCs w:val="16"/>
    </w:rPr>
  </w:style>
  <w:style w:type="character" w:styleId="885">
    <w:name w:val="Текст выноски Знак"/>
    <w:next w:val="885"/>
    <w:link w:val="884"/>
    <w:uiPriority w:val="99"/>
    <w:semiHidden/>
    <w:rPr>
      <w:rFonts w:ascii="Tahoma" w:hAnsi="Tahoma" w:cs="Tahoma"/>
      <w:color w:val="000000"/>
      <w:sz w:val="16"/>
      <w:szCs w:val="16"/>
    </w:rPr>
  </w:style>
  <w:style w:type="table" w:styleId="886">
    <w:name w:val="Сетка таблицы"/>
    <w:basedOn w:val="867"/>
    <w:next w:val="886"/>
    <w:link w:val="856"/>
    <w:uiPriority w:val="39"/>
    <w:tblPr/>
  </w:style>
  <w:style w:type="character" w:styleId="887">
    <w:name w:val="Основной текст Знак"/>
    <w:next w:val="887"/>
    <w:link w:val="873"/>
    <w:rPr>
      <w:bCs/>
      <w:sz w:val="28"/>
      <w:szCs w:val="24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  <w:style w:type="paragraph" w:styleId="891" w:customStyle="1">
    <w:name w:val="Абзац списка1"/>
    <w:uiPriority w:val="34"/>
    <w:qFormat/>
    <w:pPr>
      <w:contextualSpacing w:val="0"/>
      <w:ind w:left="708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052" w:customStyle="1">
    <w:name w:val="Body Text"/>
    <w:basedOn w:val="667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2173" w:customStyle="1">
    <w:name w:val="Normal (Web)"/>
    <w:basedOn w:val="667"/>
    <w:qFormat/>
    <w:pPr>
      <w:contextualSpacing w:val="0"/>
      <w:ind w:left="0" w:right="0" w:firstLine="0"/>
      <w:jc w:val="left"/>
      <w:keepLines w:val="0"/>
      <w:keepNext w:val="0"/>
      <w:pageBreakBefore w:val="0"/>
      <w:spacing w:before="280" w:beforeAutospacing="0" w:after="28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_3043" w:customStyle="1">
    <w:name w:val="Выделение жирным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User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Пошибайлова</dc:creator>
  <cp:revision>6</cp:revision>
  <dcterms:created xsi:type="dcterms:W3CDTF">2022-03-04T05:46:00Z</dcterms:created>
  <dcterms:modified xsi:type="dcterms:W3CDTF">2024-02-26T11:49:26Z</dcterms:modified>
  <cp:version>1048576</cp:version>
</cp:coreProperties>
</file>