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Средняя школа №29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Рост тарифов обусловлен </w:t>
      </w:r>
      <w:r>
        <w:rPr>
          <w:sz w:val="28"/>
          <w:szCs w:val="28"/>
          <w:highlight w:val="none"/>
        </w:rPr>
        <w:t xml:space="preserve">изменением в системе оплаты труда работников образовательных учреждений.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0" w:right="351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Исполнитель: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Главный специалист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 отдела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мониторинга и тарифного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регулирования управления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экономики и стратегического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планирования департамента экономического развития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администрации города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Кияткина Дарья Юрьевна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тел.: 8 (3466) 24-10-97, доб. 28386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34</cp:revision>
  <dcterms:created xsi:type="dcterms:W3CDTF">2023-02-08T09:01:00Z</dcterms:created>
  <dcterms:modified xsi:type="dcterms:W3CDTF">2026-04-02T09:54:28Z</dcterms:modified>
</cp:coreProperties>
</file>