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line="276" w:lineRule="auto"/>
        <w:jc w:val="right"/>
      </w:pPr>
      <w:r>
        <w:t xml:space="preserve">Утвержден пунктом 1.2 протокола заседания</w:t>
      </w:r>
    </w:p>
    <w:p>
      <w:pPr>
        <w:spacing w:line="276" w:lineRule="auto"/>
        <w:jc w:val="right"/>
      </w:pPr>
      <w:r>
        <w:t xml:space="preserve">Антинаркотической комиссии </w:t>
      </w:r>
      <w:r>
        <w:br/>
        <w:t xml:space="preserve">Ханты-Мансийского автономного округа – Югры </w:t>
      </w:r>
    </w:p>
    <w:p>
      <w:pPr>
        <w:spacing w:line="276" w:lineRule="auto"/>
        <w:jc w:val="right"/>
      </w:pPr>
      <w:r>
        <w:t xml:space="preserve">от 25 марта 2026 года № 1</w:t>
      </w:r>
    </w:p>
    <w:p>
      <w:pPr>
        <w:tabs>
          <w:tab w:val="left" w:pos="5900" w:leader="none"/>
        </w:tabs>
        <w:spacing w:line="276" w:lineRule="auto"/>
        <w:rPr>
          <w:b/>
        </w:rPr>
      </w:pPr>
      <w:r>
        <w:rPr>
          <w:b/>
        </w:rPr>
        <w:tab/>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tabs>
          <w:tab w:val="left" w:pos="5620" w:leader="none"/>
        </w:tabs>
        <w:spacing w:line="276" w:lineRule="auto"/>
        <w:ind w:firstLine="0"/>
        <w:rPr>
          <w:b/>
        </w:rPr>
      </w:pPr>
      <w:r>
        <w:rPr>
          <w:b/>
        </w:rPr>
        <w:tab/>
      </w:r>
      <w:r>
        <w:rPr>
          <w:b/>
        </w:rPr>
      </w:r>
    </w:p>
    <w:p>
      <w:pPr>
        <w:spacing w:line="276" w:lineRule="auto"/>
        <w:ind w:firstLine="0"/>
        <w:jc w:val="center"/>
        <w:rPr>
          <w:b/>
        </w:rPr>
      </w:pPr>
      <w:r>
        <w:rPr>
          <w:b/>
        </w:rPr>
      </w:r>
      <w:r>
        <w:rPr>
          <w:b/>
        </w:rPr>
      </w:r>
    </w:p>
    <w:p>
      <w:pPr>
        <w:spacing w:line="276" w:lineRule="auto"/>
        <w:ind w:firstLine="0"/>
        <w:jc w:val="center"/>
        <w:rPr>
          <w:sz w:val="36"/>
          <w:szCs w:val="36"/>
        </w:rPr>
      </w:pPr>
      <w:r>
        <w:rPr>
          <w:sz w:val="36"/>
          <w:szCs w:val="36"/>
        </w:rPr>
      </w:r>
      <w:r>
        <w:rPr>
          <w:sz w:val="36"/>
          <w:szCs w:val="36"/>
        </w:rPr>
      </w:r>
    </w:p>
    <w:p>
      <w:pPr>
        <w:spacing w:line="276" w:lineRule="auto"/>
        <w:ind w:firstLine="0"/>
        <w:jc w:val="center"/>
        <w:rPr>
          <w:sz w:val="36"/>
          <w:szCs w:val="36"/>
        </w:rPr>
      </w:pPr>
      <w:r>
        <w:rPr>
          <w:sz w:val="36"/>
          <w:szCs w:val="36"/>
        </w:rPr>
      </w:r>
      <w:r>
        <w:rPr>
          <w:sz w:val="36"/>
          <w:szCs w:val="36"/>
        </w:rPr>
      </w:r>
    </w:p>
    <w:p>
      <w:pPr>
        <w:spacing w:line="276" w:lineRule="auto"/>
        <w:ind w:firstLine="0"/>
        <w:jc w:val="center"/>
        <w:rPr>
          <w:sz w:val="36"/>
          <w:szCs w:val="36"/>
        </w:rPr>
      </w:pPr>
      <w:r>
        <w:rPr>
          <w:sz w:val="36"/>
          <w:szCs w:val="36"/>
        </w:rPr>
      </w:r>
      <w:r>
        <w:rPr>
          <w:sz w:val="36"/>
          <w:szCs w:val="36"/>
        </w:rPr>
      </w:r>
    </w:p>
    <w:p>
      <w:pPr>
        <w:pStyle w:val="1411"/>
        <w:spacing w:before="0"/>
        <w:jc w:val="center"/>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наркоситуации </w:t>
      </w:r>
      <w:r>
        <w:rPr>
          <w:rFonts w:ascii="Times New Roman" w:hAnsi="Times New Roman"/>
          <w:sz w:val="48"/>
          <w:szCs w:val="48"/>
        </w:rPr>
      </w:r>
    </w:p>
    <w:p>
      <w:pPr>
        <w:pStyle w:val="1411"/>
        <w:spacing w:before="0"/>
        <w:jc w:val="center"/>
        <w:rPr>
          <w:rFonts w:ascii="Times New Roman" w:hAnsi="Times New Roman"/>
          <w:sz w:val="48"/>
          <w:szCs w:val="48"/>
        </w:rPr>
      </w:pPr>
      <w:r>
        <w:rPr>
          <w:rFonts w:ascii="Times New Roman" w:hAnsi="Times New Roman"/>
          <w:sz w:val="48"/>
          <w:szCs w:val="48"/>
        </w:rPr>
        <w:t xml:space="preserve">в Ханты-Мансийском</w:t>
      </w:r>
      <w:r>
        <w:rPr>
          <w:rFonts w:ascii="Times New Roman" w:hAnsi="Times New Roman"/>
          <w:sz w:val="48"/>
          <w:szCs w:val="48"/>
        </w:rPr>
        <w:br/>
        <w:t xml:space="preserve">автономном округе – Югре</w:t>
      </w:r>
      <w:r>
        <w:rPr>
          <w:rFonts w:ascii="Times New Roman" w:hAnsi="Times New Roman"/>
          <w:sz w:val="48"/>
          <w:szCs w:val="48"/>
        </w:rPr>
        <w:br/>
        <w:t xml:space="preserve">в 2025 году</w:t>
      </w:r>
      <w:r>
        <w:rPr>
          <w:rFonts w:ascii="Times New Roman" w:hAnsi="Times New Roman"/>
          <w:sz w:val="48"/>
          <w:szCs w:val="48"/>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rPr>
          <w:b/>
        </w:rPr>
      </w:pPr>
      <w:r>
        <w:rPr>
          <w:b/>
        </w:rPr>
      </w:r>
      <w:r>
        <w:rPr>
          <w:b/>
        </w:rPr>
      </w:r>
    </w:p>
    <w:p>
      <w:pPr>
        <w:spacing w:line="276" w:lineRule="auto"/>
        <w:ind w:firstLine="0"/>
        <w:jc w:val="center"/>
      </w:pPr>
      <w:r>
        <w:t xml:space="preserve">г. Ханты-Мансийск</w:t>
      </w:r>
    </w:p>
    <w:p>
      <w:pPr>
        <w:spacing w:line="276" w:lineRule="auto"/>
        <w:ind w:firstLine="0"/>
        <w:jc w:val="center"/>
      </w:pPr>
      <w:r>
        <w:t xml:space="preserve">2026</w:t>
      </w:r>
    </w:p>
    <w:p>
      <w:pPr>
        <w:spacing w:line="276" w:lineRule="auto"/>
        <w:ind w:firstLine="0"/>
        <w:jc w:val="center"/>
        <w:rPr>
          <w:b/>
          <w:highlight w:val="yellow"/>
        </w:rPr>
        <w:sectPr>
          <w:headerReference w:type="default" r:id="rId9"/>
          <w:footerReference w:type="default" r:id="rId16"/>
          <w:footnotePr/>
          <w:endnotePr/>
          <w:type w:val="nextPage"/>
          <w:pgSz w:w="11906" w:h="16838" w:orient="portrait"/>
          <w:pgMar w:top="1134" w:right="851" w:bottom="1134" w:left="1701" w:header="709" w:footer="709" w:gutter="0"/>
          <w:cols w:num="1" w:sep="0" w:space="708" w:equalWidth="1"/>
          <w:docGrid w:linePitch="360"/>
          <w:titlePg/>
        </w:sectPr>
      </w:pPr>
      <w:r>
        <w:rPr>
          <w:b/>
          <w:highlight w:val="yellow"/>
        </w:rPr>
      </w:r>
      <w:r>
        <w:rPr>
          <w:b/>
          <w:highlight w:val="yellow"/>
        </w:rPr>
      </w:r>
    </w:p>
    <w:p>
      <w:pPr>
        <w:spacing w:line="276" w:lineRule="auto"/>
        <w:ind w:firstLine="0"/>
        <w:jc w:val="center"/>
        <w:rPr>
          <w:b/>
        </w:rPr>
      </w:pPr>
      <w:r>
        <w:rPr>
          <w:b/>
        </w:rPr>
        <w:t xml:space="preserve">ОГЛАВЛЕНИЕ</w:t>
      </w:r>
      <w:r>
        <w:rPr>
          <w:b/>
        </w:rPr>
      </w:r>
    </w:p>
    <w:p>
      <w:pPr>
        <w:spacing w:line="276" w:lineRule="auto"/>
        <w:jc w:val="center"/>
        <w:rPr>
          <w:b/>
        </w:rPr>
      </w:pPr>
      <w:r>
        <w:rPr>
          <w:b/>
        </w:rPr>
      </w:r>
      <w:r>
        <w:rPr>
          <w:b/>
        </w:rPr>
      </w:r>
    </w:p>
    <w:tbl>
      <w:tblPr>
        <w:tblStyle w:val="1614"/>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8505"/>
        <w:gridCol w:w="839"/>
      </w:tblGrid>
      <w:tr>
        <w:trPr/>
        <w:tc>
          <w:tcPr>
            <w:tcW w:w="8505" w:type="dxa"/>
            <w:noWrap w:val="false"/>
            <w:textDirection w:val="lrTb"/>
          </w:tcPr>
          <w:p>
            <w:pPr>
              <w:spacing w:before="120" w:line="276" w:lineRule="auto"/>
              <w:ind w:firstLine="0"/>
              <w:jc w:val="left"/>
              <w:rPr>
                <w:b/>
              </w:rPr>
            </w:pPr>
            <w:r>
              <w:t xml:space="preserve">ВВЕДЕНИЕ</w:t>
            </w:r>
            <w:r>
              <w:rPr>
                <w:b/>
              </w:rPr>
            </w:r>
          </w:p>
        </w:tc>
        <w:tc>
          <w:tcPr>
            <w:tcW w:w="839" w:type="dxa"/>
            <w:noWrap w:val="false"/>
            <w:textDirection w:val="lrTb"/>
          </w:tcPr>
          <w:p>
            <w:pPr>
              <w:spacing w:before="120" w:line="276" w:lineRule="auto"/>
              <w:ind w:firstLine="0"/>
              <w:jc w:val="right"/>
            </w:pPr>
            <w:r>
              <w:t xml:space="preserve">3</w:t>
            </w:r>
          </w:p>
        </w:tc>
      </w:tr>
      <w:tr>
        <w:trPr/>
        <w:tc>
          <w:tcPr>
            <w:tcW w:w="8505" w:type="dxa"/>
            <w:noWrap w:val="false"/>
            <w:textDirection w:val="lrTb"/>
          </w:tcPr>
          <w:p>
            <w:pPr>
              <w:spacing w:before="120" w:line="276" w:lineRule="auto"/>
              <w:ind w:firstLine="0"/>
              <w:jc w:val="left"/>
            </w:pPr>
            <w:r>
              <w:t xml:space="preserve">1. Характеристика Ханты-Мансийского автономного округа – Югры</w:t>
            </w:r>
          </w:p>
        </w:tc>
        <w:tc>
          <w:tcPr>
            <w:tcW w:w="839" w:type="dxa"/>
            <w:noWrap w:val="false"/>
            <w:textDirection w:val="lrTb"/>
          </w:tcPr>
          <w:p>
            <w:pPr>
              <w:spacing w:before="120" w:line="276" w:lineRule="auto"/>
              <w:ind w:firstLine="0"/>
              <w:jc w:val="right"/>
            </w:pPr>
            <w:r>
              <w:t xml:space="preserve">4</w:t>
            </w:r>
          </w:p>
        </w:tc>
      </w:tr>
      <w:tr>
        <w:trPr/>
        <w:tc>
          <w:tcPr>
            <w:tcW w:w="8505" w:type="dxa"/>
            <w:noWrap w:val="false"/>
            <w:textDirection w:val="lrTb"/>
          </w:tcPr>
          <w:p>
            <w:pPr>
              <w:spacing w:before="120" w:line="276" w:lineRule="auto"/>
              <w:ind w:firstLine="0"/>
            </w:pPr>
            <w:r>
              <w:t xml:space="preserve">2. Анализ уровня и структуры потребления наркотиков </w:t>
            </w:r>
            <w:r>
              <w:br/>
              <w:t xml:space="preserve">в немедицинских целях на основании статистических данных, аналитических справок и социологических исследований</w:t>
            </w:r>
          </w:p>
        </w:tc>
        <w:tc>
          <w:tcPr>
            <w:tcW w:w="839" w:type="dxa"/>
            <w:noWrap w:val="false"/>
            <w:textDirection w:val="lrTb"/>
          </w:tcPr>
          <w:p>
            <w:pPr>
              <w:spacing w:before="120" w:line="276" w:lineRule="auto"/>
              <w:ind w:firstLine="0"/>
              <w:jc w:val="right"/>
            </w:pPr>
            <w:r>
              <w:t xml:space="preserve">18</w:t>
            </w:r>
          </w:p>
        </w:tc>
      </w:tr>
      <w:tr>
        <w:trPr/>
        <w:tc>
          <w:tcPr>
            <w:tcW w:w="8505" w:type="dxa"/>
            <w:noWrap w:val="false"/>
            <w:textDirection w:val="lrTb"/>
          </w:tcPr>
          <w:p>
            <w:pPr>
              <w:spacing w:before="120" w:line="276" w:lineRule="auto"/>
              <w:ind w:firstLine="0"/>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noWrap w:val="false"/>
            <w:textDirection w:val="lrTb"/>
          </w:tcPr>
          <w:p>
            <w:pPr>
              <w:spacing w:before="120" w:line="276" w:lineRule="auto"/>
              <w:ind w:firstLine="0"/>
              <w:jc w:val="right"/>
            </w:pPr>
            <w:r>
              <w:t xml:space="preserve">64</w:t>
            </w:r>
          </w:p>
        </w:tc>
      </w:tr>
      <w:tr>
        <w:trPr/>
        <w:tc>
          <w:tcPr>
            <w:tcW w:w="8505" w:type="dxa"/>
            <w:noWrap w:val="false"/>
            <w:textDirection w:val="lrTb"/>
          </w:tcPr>
          <w:p>
            <w:pPr>
              <w:spacing w:before="120" w:line="276" w:lineRule="auto"/>
              <w:ind w:firstLine="0"/>
              <w:outlineLvl w:val="1"/>
            </w:pPr>
            <w:r>
              <w:t xml:space="preserve">4. Анализ, оценка и динамика результатов деятельности в сфере профилактики потребления наркотиков в немедицинских целях</w:t>
            </w:r>
          </w:p>
        </w:tc>
        <w:tc>
          <w:tcPr>
            <w:tcW w:w="839" w:type="dxa"/>
            <w:noWrap w:val="false"/>
            <w:textDirection w:val="lrTb"/>
          </w:tcPr>
          <w:p>
            <w:pPr>
              <w:spacing w:before="120" w:line="276" w:lineRule="auto"/>
              <w:ind w:firstLine="0"/>
              <w:jc w:val="right"/>
            </w:pPr>
            <w:r>
              <w:t xml:space="preserve">80</w:t>
            </w:r>
          </w:p>
        </w:tc>
      </w:tr>
      <w:tr>
        <w:trPr>
          <w:trHeight w:val="832"/>
        </w:trPr>
        <w:tc>
          <w:tcPr>
            <w:tcW w:w="8505" w:type="dxa"/>
            <w:noWrap w:val="false"/>
            <w:textDirection w:val="lrTb"/>
          </w:tcPr>
          <w:p>
            <w:pPr>
              <w:spacing w:before="120" w:line="276" w:lineRule="auto"/>
              <w:ind w:firstLine="0"/>
              <w:outlineLvl w:val="1"/>
            </w:pPr>
            <w:r>
              <w:t xml:space="preserve">5. Анализ, оценка и динамика ситуации в сфере противодействия незаконному обороту наркотиков</w:t>
            </w:r>
          </w:p>
        </w:tc>
        <w:tc>
          <w:tcPr>
            <w:tcW w:w="839" w:type="dxa"/>
            <w:noWrap w:val="false"/>
            <w:textDirection w:val="lrTb"/>
          </w:tcPr>
          <w:p>
            <w:pPr>
              <w:spacing w:before="120" w:line="276" w:lineRule="auto"/>
              <w:ind w:firstLine="0"/>
              <w:jc w:val="right"/>
            </w:pPr>
            <w:r>
              <w:t xml:space="preserve">110</w:t>
            </w:r>
          </w:p>
        </w:tc>
      </w:tr>
      <w:tr>
        <w:trPr/>
        <w:tc>
          <w:tcPr>
            <w:tcW w:w="8505" w:type="dxa"/>
            <w:noWrap w:val="false"/>
            <w:textDirection w:val="lrTb"/>
          </w:tcPr>
          <w:p>
            <w:pPr>
              <w:spacing w:before="120" w:line="276" w:lineRule="auto"/>
              <w:ind w:firstLine="0"/>
              <w:outlineLvl w:val="1"/>
            </w:pPr>
            <w:r>
              <w:t xml:space="preserve">6. Оценка результатов реализации государственных программ (подпрограмм) Ханты-Мансийского автономного округа – Югры, </w:t>
            </w:r>
            <w:r>
              <w:br/>
              <w:t xml:space="preserve">в рамках которых осуществляются антинаркотические мероприятия</w:t>
            </w:r>
          </w:p>
        </w:tc>
        <w:tc>
          <w:tcPr>
            <w:tcW w:w="839" w:type="dxa"/>
            <w:noWrap w:val="false"/>
            <w:textDirection w:val="lrTb"/>
          </w:tcPr>
          <w:p>
            <w:pPr>
              <w:spacing w:before="120" w:line="276" w:lineRule="auto"/>
              <w:ind w:firstLine="0"/>
              <w:jc w:val="right"/>
            </w:pPr>
            <w:r>
              <w:t xml:space="preserve">130</w:t>
            </w:r>
          </w:p>
        </w:tc>
      </w:tr>
      <w:tr>
        <w:trPr/>
        <w:tc>
          <w:tcPr>
            <w:tcW w:w="8505" w:type="dxa"/>
            <w:noWrap w:val="false"/>
            <w:textDirection w:val="lrTb"/>
          </w:tcPr>
          <w:p>
            <w:pPr>
              <w:spacing w:before="120" w:line="276" w:lineRule="auto"/>
              <w:ind w:firstLine="0"/>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noWrap w:val="false"/>
            <w:textDirection w:val="lrTb"/>
          </w:tcPr>
          <w:p>
            <w:pPr>
              <w:spacing w:before="120" w:line="276" w:lineRule="auto"/>
              <w:ind w:firstLine="0"/>
              <w:jc w:val="right"/>
            </w:pPr>
            <w:r>
              <w:t xml:space="preserve">152</w:t>
            </w:r>
          </w:p>
        </w:tc>
      </w:tr>
      <w:tr>
        <w:trPr/>
        <w:tc>
          <w:tcPr>
            <w:tcW w:w="8505" w:type="dxa"/>
            <w:noWrap w:val="false"/>
            <w:textDirection w:val="lrTb"/>
          </w:tcPr>
          <w:p>
            <w:pPr>
              <w:spacing w:before="120" w:line="276" w:lineRule="auto"/>
              <w:ind w:firstLine="0"/>
              <w:outlineLvl w:val="1"/>
            </w:pPr>
            <w:r>
              <w:t xml:space="preserve">8. Предварительная оценка состояния наркоситуации </w:t>
            </w:r>
            <w:r>
              <w:br/>
              <w:t xml:space="preserve">в Ханты-Мансийском автономном округе – Югре в соответствии </w:t>
            </w:r>
            <w:r>
              <w:br/>
              <w:t xml:space="preserve">с Критериями оценки развития наркоситуации в автономном округе (в разрезе муниципальных образований)</w:t>
            </w:r>
          </w:p>
        </w:tc>
        <w:tc>
          <w:tcPr>
            <w:tcW w:w="839" w:type="dxa"/>
            <w:noWrap w:val="false"/>
            <w:textDirection w:val="lrTb"/>
          </w:tcPr>
          <w:p>
            <w:pPr>
              <w:spacing w:before="120" w:line="276" w:lineRule="auto"/>
              <w:ind w:firstLine="0"/>
              <w:jc w:val="right"/>
            </w:pPr>
            <w:r>
              <w:t xml:space="preserve">177</w:t>
            </w:r>
          </w:p>
        </w:tc>
      </w:tr>
      <w:tr>
        <w:trPr/>
        <w:tc>
          <w:tcPr>
            <w:tcW w:w="8505" w:type="dxa"/>
            <w:noWrap w:val="false"/>
            <w:textDirection w:val="lrTb"/>
          </w:tcPr>
          <w:p>
            <w:pPr>
              <w:spacing w:before="120" w:line="276" w:lineRule="auto"/>
              <w:ind w:firstLine="0"/>
              <w:outlineLvl w:val="1"/>
            </w:pPr>
            <w:r>
              <w:t xml:space="preserve">9. Краткосрочное (1 год) прогнозирование развития наркоситуации</w:t>
            </w:r>
          </w:p>
        </w:tc>
        <w:tc>
          <w:tcPr>
            <w:tcW w:w="839" w:type="dxa"/>
            <w:noWrap w:val="false"/>
            <w:textDirection w:val="lrTb"/>
          </w:tcPr>
          <w:p>
            <w:pPr>
              <w:spacing w:before="120" w:line="276" w:lineRule="auto"/>
              <w:ind w:firstLine="0"/>
              <w:jc w:val="right"/>
            </w:pPr>
            <w:r>
              <w:t xml:space="preserve">192</w:t>
            </w:r>
          </w:p>
        </w:tc>
      </w:tr>
      <w:tr>
        <w:trPr/>
        <w:tc>
          <w:tcPr>
            <w:tcW w:w="8505" w:type="dxa"/>
            <w:noWrap w:val="false"/>
            <w:textDirection w:val="lrTb"/>
          </w:tcPr>
          <w:p>
            <w:pPr>
              <w:pStyle w:val="1612"/>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w:t>
            </w:r>
            <w:r>
              <w:rPr>
                <w:rFonts w:ascii="Times New Roman" w:hAnsi="Times New Roman" w:cs="Times New Roman"/>
                <w:sz w:val="28"/>
                <w:szCs w:val="28"/>
              </w:rPr>
              <w:br/>
              <w:t xml:space="preserve">по оздоровлению наркоситуации в Ханты-Мансийском автономном округе – Югре и в Российской Федерации в целом</w:t>
            </w:r>
            <w:r>
              <w:rPr>
                <w:rFonts w:ascii="Times New Roman" w:hAnsi="Times New Roman" w:cs="Times New Roman"/>
                <w:sz w:val="28"/>
                <w:szCs w:val="28"/>
              </w:rPr>
            </w:r>
          </w:p>
        </w:tc>
        <w:tc>
          <w:tcPr>
            <w:tcW w:w="839" w:type="dxa"/>
            <w:noWrap w:val="false"/>
            <w:textDirection w:val="lrTb"/>
          </w:tcPr>
          <w:p>
            <w:pPr>
              <w:spacing w:before="120" w:line="276" w:lineRule="auto"/>
              <w:ind w:firstLine="0"/>
              <w:jc w:val="right"/>
            </w:pPr>
            <w:r>
              <w:t xml:space="preserve">195</w:t>
            </w:r>
          </w:p>
        </w:tc>
      </w:tr>
      <w:tr>
        <w:trPr/>
        <w:tc>
          <w:tcPr>
            <w:tcW w:w="8505" w:type="dxa"/>
            <w:noWrap w:val="false"/>
            <w:textDirection w:val="lrTb"/>
          </w:tcPr>
          <w:p>
            <w:pPr>
              <w:pStyle w:val="1612"/>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ПРИЛОЖЕНИЯ 1-38 </w:t>
            </w:r>
            <w:r>
              <w:rPr>
                <w:rFonts w:ascii="Times New Roman" w:hAnsi="Times New Roman" w:cs="Times New Roman"/>
                <w:sz w:val="28"/>
                <w:szCs w:val="28"/>
              </w:rPr>
            </w:r>
          </w:p>
        </w:tc>
        <w:tc>
          <w:tcPr>
            <w:tcW w:w="839" w:type="dxa"/>
            <w:noWrap w:val="false"/>
            <w:textDirection w:val="lrTb"/>
          </w:tcPr>
          <w:p>
            <w:pPr>
              <w:spacing w:before="120" w:line="276" w:lineRule="auto"/>
              <w:ind w:firstLine="0"/>
              <w:jc w:val="right"/>
            </w:pPr>
            <w:r>
              <w:t xml:space="preserve">в эл. виде</w:t>
            </w:r>
          </w:p>
        </w:tc>
      </w:tr>
    </w:tbl>
    <w:p>
      <w:pPr>
        <w:spacing w:line="276" w:lineRule="auto"/>
        <w:jc w:val="center"/>
        <w:rPr>
          <w:highlight w:val="yellow"/>
        </w:rPr>
      </w:pPr>
      <w:r>
        <w:rPr>
          <w:highlight w:val="yellow"/>
        </w:rPr>
      </w:r>
      <w:r>
        <w:rPr>
          <w:highlight w:val="yellow"/>
        </w:rPr>
      </w:r>
    </w:p>
    <w:p>
      <w:pPr>
        <w:spacing w:line="276" w:lineRule="auto"/>
        <w:jc w:val="center"/>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p>
    <w:p>
      <w:pPr>
        <w:spacing w:line="276" w:lineRule="auto"/>
        <w:ind w:firstLine="0"/>
        <w:jc w:val="center"/>
      </w:pPr>
      <w:r>
        <w:t xml:space="preserve">ВВЕДЕНИЕ</w:t>
      </w:r>
    </w:p>
    <w:p>
      <w:pPr>
        <w:spacing w:line="276" w:lineRule="auto"/>
        <w:ind w:firstLine="0"/>
        <w:jc w:val="center"/>
        <w:rPr>
          <w:b/>
        </w:rPr>
      </w:pPr>
      <w:r>
        <w:rPr>
          <w:b/>
        </w:rPr>
      </w:r>
      <w:r>
        <w:rPr>
          <w:b/>
        </w:rPr>
      </w:r>
    </w:p>
    <w:p>
      <w:pPr>
        <w:spacing w:line="276" w:lineRule="auto"/>
        <w:ind w:firstLine="709"/>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r>
        <w:rPr>
          <w:rFonts w:eastAsia="Calibri"/>
          <w:color w:val="2d2d2d"/>
          <w:spacing w:val="2"/>
        </w:rPr>
      </w:r>
    </w:p>
    <w:p>
      <w:pPr>
        <w:spacing w:line="276" w:lineRule="auto"/>
        <w:ind w:firstLine="709"/>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w:t>
      </w:r>
      <w:r>
        <w:rPr>
          <w:rFonts w:eastAsia="Calibri"/>
        </w:rPr>
        <w:t xml:space="preserve">(далее также – автономный округ, округ, ХМАО-Югра, Югра)</w:t>
      </w:r>
      <w:r>
        <w:rPr>
          <w:rFonts w:eastAsia="Calibri"/>
          <w:color w:val="000000"/>
        </w:rPr>
        <w:t xml:space="preserve"> проводится мониторинг наркоситуации. </w:t>
      </w:r>
      <w:r>
        <w:rPr>
          <w:rFonts w:eastAsia="Calibri"/>
          <w:color w:val="000000"/>
        </w:rPr>
      </w:r>
    </w:p>
    <w:p>
      <w:pPr>
        <w:spacing w:line="276" w:lineRule="auto"/>
        <w:ind w:firstLine="709"/>
        <w:rPr>
          <w:rFonts w:eastAsia="Calibri"/>
          <w:color w:val="000000"/>
        </w:rPr>
      </w:pPr>
      <w:r>
        <w:rPr>
          <w:rFonts w:eastAsia="Calibri"/>
          <w:color w:val="000000"/>
        </w:rPr>
        <w:t xml:space="preserve">Мониторинг осуществляется в целях: </w:t>
      </w:r>
      <w:r>
        <w:rPr>
          <w:rFonts w:eastAsia="Calibri"/>
          <w:color w:val="000000"/>
        </w:rPr>
      </w:r>
    </w:p>
    <w:p>
      <w:pPr>
        <w:spacing w:line="276" w:lineRule="auto"/>
        <w:ind w:firstLine="709"/>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наркотиков;</w:t>
      </w:r>
      <w:r>
        <w:rPr>
          <w:rFonts w:eastAsia="Calibri"/>
          <w:color w:val="000000"/>
        </w:rPr>
      </w:r>
    </w:p>
    <w:p>
      <w:pPr>
        <w:spacing w:line="276" w:lineRule="auto"/>
        <w:ind w:firstLine="709"/>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w:t>
      </w:r>
      <w:r>
        <w:rPr>
          <w:rFonts w:eastAsia="Calibri"/>
          <w:color w:val="000000"/>
        </w:rPr>
        <w:t xml:space="preserve">прекурсоров</w:t>
      </w:r>
      <w:r>
        <w:rPr>
          <w:rFonts w:eastAsia="Calibri"/>
          <w:color w:val="000000"/>
        </w:rPr>
        <w:t xml:space="preserve">;</w:t>
      </w:r>
      <w:r>
        <w:rPr>
          <w:rFonts w:eastAsia="Calibri"/>
          <w:color w:val="000000"/>
        </w:rPr>
      </w:r>
    </w:p>
    <w:p>
      <w:pPr>
        <w:spacing w:line="276" w:lineRule="auto"/>
        <w:ind w:firstLine="709"/>
        <w:rPr>
          <w:rFonts w:eastAsia="Calibri"/>
          <w:color w:val="000000"/>
        </w:rPr>
      </w:pPr>
      <w:r>
        <w:rPr>
          <w:rFonts w:eastAsia="Calibri"/>
          <w:color w:val="000000"/>
        </w:rPr>
        <w:t xml:space="preserve">оценки </w:t>
      </w:r>
      <w:r>
        <w:rPr>
          <w:rFonts w:eastAsia="Calibri"/>
          <w:color w:val="000000"/>
        </w:rPr>
        <w:t xml:space="preserve">эффективности</w:t>
      </w:r>
      <w:r>
        <w:rPr>
          <w:rFonts w:eastAsia="Calibri"/>
          <w:color w:val="000000"/>
        </w:rPr>
        <w:t xml:space="preserve"> проводимой в автономном округе антинаркотической политики и формирования предложений по ее оптимизации.</w:t>
      </w:r>
      <w:r>
        <w:rPr>
          <w:rFonts w:eastAsia="Calibri"/>
          <w:color w:val="000000"/>
        </w:rPr>
      </w:r>
    </w:p>
    <w:p>
      <w:pPr>
        <w:spacing w:line="276" w:lineRule="auto"/>
        <w:ind w:firstLine="709"/>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w:t>
      </w:r>
      <w:r>
        <w:rPr>
          <w:rFonts w:eastAsia="Calibri"/>
          <w:color w:val="000000"/>
        </w:rPr>
        <w:t xml:space="preserve">прекурсоров</w:t>
      </w:r>
      <w:r>
        <w:rPr>
          <w:rFonts w:eastAsia="Calibri"/>
          <w:color w:val="000000"/>
        </w:rPr>
        <w:t xml:space="preserve">, а также в области противодействия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w:t>
      </w:r>
      <w:r>
        <w:rPr>
          <w:rFonts w:eastAsia="Calibri"/>
          <w:color w:val="000000"/>
        </w:rPr>
        <w:t xml:space="preserve">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r>
        <w:rPr>
          <w:rFonts w:eastAsia="Calibri"/>
          <w:color w:val="000000"/>
        </w:rPr>
      </w:r>
    </w:p>
    <w:p>
      <w:pPr>
        <w:spacing w:line="276" w:lineRule="auto"/>
        <w:ind w:firstLine="709"/>
        <w:rPr>
          <w:rFonts w:eastAsia="Calibri"/>
          <w:b/>
          <w:color w:val="000000"/>
        </w:rPr>
      </w:pPr>
      <w:r>
        <w:rPr>
          <w:rFonts w:eastAsia="Calibri"/>
          <w:b/>
          <w:color w:val="000000"/>
        </w:rPr>
      </w:r>
      <w:r>
        <w:rPr>
          <w:rFonts w:eastAsia="Calibri"/>
          <w:b/>
          <w:color w:val="000000"/>
        </w:rPr>
      </w:r>
    </w:p>
    <w:p>
      <w:pPr>
        <w:spacing w:line="276" w:lineRule="auto"/>
        <w:ind w:firstLine="709"/>
        <w:jc w:val="center"/>
        <w:rPr>
          <w:rFonts w:eastAsia="Calibri"/>
          <w:b/>
          <w:color w:val="000000"/>
        </w:rPr>
      </w:pPr>
      <w:r>
        <w:rPr>
          <w:rFonts w:eastAsia="Calibri"/>
          <w:b/>
          <w:color w:val="000000"/>
        </w:rPr>
      </w:r>
      <w:r>
        <w:rPr>
          <w:rFonts w:eastAsia="Calibri"/>
          <w:b/>
          <w:color w:val="000000"/>
        </w:rPr>
      </w:r>
    </w:p>
    <w:p>
      <w:pPr>
        <w:spacing w:line="276" w:lineRule="auto"/>
        <w:ind w:firstLine="709"/>
        <w:jc w:val="center"/>
        <w:rPr>
          <w:rFonts w:eastAsia="Calibri"/>
          <w:b/>
          <w:color w:val="000000"/>
        </w:rPr>
      </w:pPr>
      <w:r>
        <w:rPr>
          <w:rFonts w:eastAsia="Calibri"/>
          <w:b/>
          <w:color w:val="000000"/>
        </w:rPr>
      </w:r>
      <w:r>
        <w:rPr>
          <w:rFonts w:eastAsia="Calibri"/>
          <w:b/>
          <w:color w:val="000000"/>
        </w:rPr>
      </w:r>
    </w:p>
    <w:p>
      <w:pPr>
        <w:spacing w:line="276" w:lineRule="auto"/>
        <w:ind w:firstLine="709"/>
        <w:jc w:val="center"/>
        <w:rPr>
          <w:rFonts w:eastAsia="Calibri"/>
          <w:color w:val="ff0000"/>
        </w:rPr>
      </w:pPr>
      <w:r>
        <w:rPr>
          <w:rFonts w:eastAsia="Calibri"/>
          <w:color w:val="ff0000"/>
        </w:rPr>
      </w:r>
      <w:r>
        <w:rPr>
          <w:rFonts w:eastAsia="Calibri"/>
          <w:color w:val="ff0000"/>
        </w:rPr>
      </w:r>
    </w:p>
    <w:p>
      <w:pPr>
        <w:spacing w:line="276" w:lineRule="auto"/>
        <w:ind w:firstLine="709"/>
        <w:jc w:val="center"/>
        <w:rPr>
          <w:rFonts w:eastAsia="Calibri"/>
          <w:color w:val="000000"/>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rPr>
      </w:r>
      <w:r>
        <w:rPr>
          <w:rFonts w:eastAsia="Calibri"/>
          <w:color w:val="000000"/>
        </w:rPr>
      </w:r>
    </w:p>
    <w:p>
      <w:pPr>
        <w:spacing w:line="276" w:lineRule="auto"/>
        <w:ind w:firstLine="0"/>
        <w:jc w:val="center"/>
        <w:rPr>
          <w:rFonts w:eastAsia="Calibri"/>
          <w:b/>
        </w:rPr>
      </w:pPr>
      <w:r>
        <w:rPr>
          <w:rFonts w:eastAsia="Calibri"/>
          <w:b/>
        </w:rPr>
        <w:t xml:space="preserve">Доклад</w:t>
      </w:r>
      <w:r>
        <w:rPr>
          <w:rFonts w:eastAsia="Calibri"/>
          <w:b/>
        </w:rPr>
        <w:br/>
        <w:t xml:space="preserve">о наркоситуации в Ханты-Мансийском</w:t>
      </w:r>
      <w:r>
        <w:rPr>
          <w:rFonts w:eastAsia="Calibri"/>
          <w:b/>
        </w:rPr>
        <w:br/>
        <w:t xml:space="preserve">автономном округе – Югре в 2025 году</w:t>
      </w:r>
      <w:r>
        <w:rPr>
          <w:rFonts w:eastAsia="Calibri"/>
          <w:b/>
        </w:rPr>
      </w:r>
    </w:p>
    <w:p>
      <w:pPr>
        <w:spacing w:line="276" w:lineRule="auto"/>
        <w:ind w:firstLine="709"/>
        <w:jc w:val="center"/>
        <w:rPr>
          <w:b/>
        </w:rPr>
      </w:pPr>
      <w:r>
        <w:rPr>
          <w:b/>
        </w:rPr>
      </w:r>
      <w:r>
        <w:rPr>
          <w:b/>
        </w:rP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276" w:lineRule="auto"/>
        <w:ind w:firstLine="709"/>
        <w:outlineLvl w:val="1"/>
        <w:rPr>
          <w:b/>
        </w:rPr>
      </w:pPr>
      <w:r>
        <w:rPr>
          <w:b/>
        </w:rPr>
        <w:t xml:space="preserve">1. Характеристика Ханты-Мансийского автономного округа – Югры</w:t>
      </w:r>
      <w:r>
        <w:rPr>
          <w:b/>
        </w:rPr>
      </w:r>
    </w:p>
    <w:p>
      <w:pPr>
        <w:spacing w:line="276" w:lineRule="auto"/>
        <w:rPr>
          <w:rFonts w:eastAsia="Calibri"/>
        </w:rPr>
      </w:pPr>
      <w:r>
        <w:rPr>
          <w:rFonts w:eastAsia="Calibri"/>
        </w:rPr>
      </w:r>
      <w:r>
        <w:rPr>
          <w:rFonts w:eastAsia="Calibri"/>
        </w:rPr>
      </w:r>
    </w:p>
    <w:p>
      <w:pPr>
        <w:spacing w:line="276" w:lineRule="auto"/>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w:t>
      </w:r>
      <w:r>
        <w:rPr>
          <w:rFonts w:eastAsia="Calibri"/>
        </w:rPr>
        <w:t xml:space="preserve">Западно-Сибирской</w:t>
      </w:r>
      <w:r>
        <w:rPr>
          <w:rFonts w:eastAsia="Calibri"/>
        </w:rPr>
        <w:t xml:space="preserve">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r>
        <w:rPr>
          <w:rFonts w:eastAsia="Calibri"/>
        </w:rPr>
        <w:t xml:space="preserve">Уватским</w:t>
      </w:r>
      <w:r>
        <w:rPr>
          <w:rFonts w:eastAsia="Calibri"/>
        </w:rPr>
        <w:t xml:space="preserve"> районами Тюменской области, на юго-востоке и востоке – с Томской областью и Красноярским краем.</w:t>
      </w:r>
      <w:r>
        <w:rPr>
          <w:rFonts w:eastAsia="Calibri"/>
        </w:rPr>
      </w:r>
    </w:p>
    <w:p>
      <w:pPr>
        <w:spacing w:line="276" w:lineRule="auto"/>
        <w:rPr>
          <w:rFonts w:eastAsia="Calibri"/>
        </w:rPr>
      </w:pPr>
      <w:r>
        <w:rPr>
          <w:rFonts w:eastAsia="Calibri"/>
        </w:rPr>
        <w:t xml:space="preserve">Ханты-Мансийский автономный </w:t>
      </w:r>
      <w:r>
        <w:rPr>
          <w:rFonts w:eastAsia="Calibri"/>
        </w:rPr>
        <w:t xml:space="preserve">округ – Югра входит в состав Уральского федерального округа. Белоярский и Березовский муниципальные районы входят в Арктическую зону Российской Федерации. Административный центр округа – город Ханты-Мансийск. Площадь Ханты-Мансийского автономного округа – </w:t>
      </w:r>
      <w:r>
        <w:rPr>
          <w:rFonts w:eastAsia="Calibri"/>
        </w:rPr>
        <w:t xml:space="preserve">Югры составляет 534,8 тыс. кв. километров (9-е место в России).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2025 года является Сургут – </w:t>
      </w:r>
      <w:r>
        <w:rPr>
          <w:color w:val="000000"/>
        </w:rPr>
        <w:t xml:space="preserve">432,9 </w:t>
      </w:r>
      <w:r>
        <w:rPr>
          <w:rFonts w:eastAsia="Calibri"/>
        </w:rPr>
        <w:t xml:space="preserve">тыс. человек, из районов – Сургутский – </w:t>
      </w:r>
      <w:r>
        <w:rPr>
          <w:color w:val="000000"/>
        </w:rPr>
        <w:t xml:space="preserve">131,2 </w:t>
      </w:r>
      <w:r>
        <w:rPr>
          <w:rFonts w:eastAsia="Calibri"/>
        </w:rPr>
        <w:t xml:space="preserve">тыс. человек. По площади территории на первых местах находятся </w:t>
      </w:r>
      <w:r>
        <w:rPr>
          <w:rFonts w:eastAsia="Calibri"/>
        </w:rPr>
        <w:t xml:space="preserve">Нижневартовский</w:t>
      </w:r>
      <w:r>
        <w:rPr>
          <w:rFonts w:eastAsia="Calibri"/>
        </w:rPr>
        <w:t xml:space="preserve"> – 21,9%, Сургутский – 19,7%, Березовский районы – </w:t>
      </w:r>
      <w:r>
        <w:rPr>
          <w:rFonts w:eastAsia="Calibri"/>
        </w:rPr>
        <w:br/>
        <w:t xml:space="preserve">16,5%. </w:t>
      </w:r>
      <w:r>
        <w:rPr>
          <w:rFonts w:eastAsia="Calibri"/>
        </w:rPr>
      </w:r>
    </w:p>
    <w:p>
      <w:pPr>
        <w:spacing w:line="276" w:lineRule="auto"/>
        <w:rPr>
          <w:rFonts w:eastAsia="Calibri"/>
        </w:rPr>
      </w:pPr>
      <w:r>
        <w:rPr>
          <w:rFonts w:eastAsia="Calibri"/>
        </w:rPr>
        <w:t xml:space="preserve">Количество муниципальных образований – 105, в том числе: 13 городских округов (Когалым, </w:t>
      </w:r>
      <w:r>
        <w:rPr>
          <w:rFonts w:eastAsia="Calibri"/>
        </w:rPr>
        <w:t xml:space="preserve">Лангепас</w:t>
      </w:r>
      <w:r>
        <w:rPr>
          <w:rFonts w:eastAsia="Calibri"/>
        </w:rPr>
        <w:t xml:space="preserve">, </w:t>
      </w:r>
      <w:r>
        <w:rPr>
          <w:rFonts w:eastAsia="Calibri"/>
        </w:rPr>
        <w:t xml:space="preserve">Мегион</w:t>
      </w:r>
      <w:r>
        <w:rPr>
          <w:rFonts w:eastAsia="Calibri"/>
        </w:rPr>
        <w:t xml:space="preserve">, Нефтеюганск, Нижневартовск, Нягань, </w:t>
      </w:r>
      <w:r>
        <w:rPr>
          <w:rFonts w:eastAsia="Calibri"/>
        </w:rPr>
        <w:t xml:space="preserve">Покачи</w:t>
      </w:r>
      <w:r>
        <w:rPr>
          <w:rFonts w:eastAsia="Calibri"/>
        </w:rPr>
        <w:t xml:space="preserve">, </w:t>
      </w:r>
      <w:r>
        <w:rPr>
          <w:rFonts w:eastAsia="Calibri"/>
        </w:rPr>
        <w:t xml:space="preserve">Пыть-Ях</w:t>
      </w:r>
      <w:r>
        <w:rPr>
          <w:rFonts w:eastAsia="Calibri"/>
        </w:rPr>
        <w:t xml:space="preserve">, Радужный, Сургут, Урай, Ханты-Мансийск, </w:t>
      </w:r>
      <w:r>
        <w:rPr>
          <w:rFonts w:eastAsia="Calibri"/>
        </w:rPr>
        <w:t xml:space="preserve">Югорск</w:t>
      </w:r>
      <w:r>
        <w:rPr>
          <w:rFonts w:eastAsia="Calibri"/>
        </w:rPr>
        <w:t xml:space="preserve">); 9 муниципальных районов (Белоярский, Березовский, </w:t>
      </w:r>
      <w:r>
        <w:rPr>
          <w:rFonts w:eastAsia="Calibri"/>
        </w:rPr>
        <w:t xml:space="preserve">Кондинский</w:t>
      </w:r>
      <w:r>
        <w:rPr>
          <w:rFonts w:eastAsia="Calibri"/>
        </w:rPr>
        <w:t xml:space="preserve">, </w:t>
      </w:r>
      <w:r>
        <w:rPr>
          <w:rFonts w:eastAsia="Calibri"/>
        </w:rPr>
        <w:t xml:space="preserve">Нефтеюганский</w:t>
      </w:r>
      <w:r>
        <w:rPr>
          <w:rFonts w:eastAsia="Calibri"/>
        </w:rPr>
        <w:t xml:space="preserve">, </w:t>
      </w:r>
      <w:r>
        <w:rPr>
          <w:rFonts w:eastAsia="Calibri"/>
        </w:rPr>
        <w:t xml:space="preserve">Нижневартовский</w:t>
      </w:r>
      <w:r>
        <w:rPr>
          <w:rFonts w:eastAsia="Calibri"/>
        </w:rPr>
        <w:t xml:space="preserve">, Октябрьский, Советский, Сургутский, Ханты-Мансийский); 26 городских и 57 сельских поселений.</w:t>
      </w:r>
      <w:r>
        <w:rPr>
          <w:rFonts w:eastAsia="Calibri"/>
        </w:rPr>
      </w:r>
    </w:p>
    <w:p>
      <w:pPr>
        <w:spacing w:line="276" w:lineRule="auto"/>
        <w:rPr>
          <w:rFonts w:eastAsia="Calibri"/>
        </w:rPr>
      </w:pPr>
      <w:r>
        <w:rPr>
          <w:rFonts w:eastAsia="Calibri"/>
        </w:rPr>
        <w:t xml:space="preserve">По своим социально-э</w:t>
      </w:r>
      <w:r>
        <w:rPr>
          <w:rFonts w:eastAsia="Calibri"/>
        </w:rPr>
        <w:t xml:space="preserve">кономическим и демографическим показателям за 2024 год Югра заняла 5-е место в Итоговом рейтинге регионов Российской Федерации (далее также – РФ) Рейтингового агентства ООО «РИА Рейтинг». В 2025 году автономный округ опустился на 8-е место данного рейтинга</w:t>
      </w:r>
      <w:r>
        <w:rPr>
          <w:rStyle w:val="1618"/>
          <w:rFonts w:eastAsia="Calibri"/>
        </w:rPr>
        <w:footnoteReference w:id="2"/>
      </w:r>
      <w:r>
        <w:rPr>
          <w:rFonts w:eastAsia="Calibri"/>
        </w:rPr>
        <w:t xml:space="preserve">.</w:t>
      </w:r>
      <w:r>
        <w:rPr>
          <w:rFonts w:eastAsia="Calibri"/>
        </w:rPr>
      </w:r>
    </w:p>
    <w:p>
      <w:pPr>
        <w:spacing w:line="276" w:lineRule="auto"/>
        <w:rPr>
          <w:rFonts w:eastAsia="Calibri"/>
        </w:rPr>
      </w:pPr>
      <w:r>
        <w:rPr>
          <w:rFonts w:eastAsia="Calibri"/>
        </w:rPr>
        <w:t xml:space="preserve">По оценке </w:t>
      </w:r>
      <w:r>
        <w:rPr>
          <w:rFonts w:eastAsia="Calibri"/>
          <w:i/>
        </w:rPr>
        <w:t xml:space="preserve">Федеральной службы государственной статистики</w:t>
      </w:r>
      <w:r>
        <w:rPr>
          <w:rFonts w:eastAsia="Calibri"/>
        </w:rPr>
        <w:t xml:space="preserve"> на </w:t>
      </w:r>
      <w:r>
        <w:rPr>
          <w:rFonts w:eastAsia="Calibri"/>
        </w:rPr>
        <w:br/>
        <w:t xml:space="preserve">1 января 2025 года</w:t>
      </w:r>
      <w:r>
        <w:rPr>
          <w:rStyle w:val="1618"/>
          <w:rFonts w:eastAsia="Calibri"/>
        </w:rPr>
        <w:footnoteReference w:id="3"/>
      </w:r>
      <w:r>
        <w:rPr>
          <w:rFonts w:eastAsia="Calibri"/>
        </w:rPr>
        <w:t xml:space="preserve"> </w:t>
      </w:r>
      <w:r>
        <w:rPr>
          <w:rFonts w:eastAsia="Calibri"/>
          <w:b/>
          <w:i/>
        </w:rPr>
        <w:t xml:space="preserve">численность постоянного населения</w:t>
      </w:r>
      <w:r>
        <w:rPr>
          <w:rFonts w:eastAsia="Calibri"/>
        </w:rPr>
        <w:t xml:space="preserve"> автономного округа сос</w:t>
      </w:r>
      <w:r>
        <w:rPr>
          <w:rFonts w:eastAsia="Calibri"/>
        </w:rPr>
        <w:t xml:space="preserve">тавила 1 781,8 тыс. человек и по сравнению с аналогичной датой 2024 года увеличилась на 22,4 тыс. человек (на 1 января 2024 года численность составляла 1759,4 тыс., на 1 января 2023 года – 1730,3 тыс. человек, на 1 января 2022 года – 1713,8 тыс. человек). </w:t>
      </w:r>
      <w:r>
        <w:rPr>
          <w:rFonts w:eastAsia="Calibri"/>
        </w:rPr>
      </w:r>
    </w:p>
    <w:p>
      <w:pPr>
        <w:spacing w:line="276" w:lineRule="auto"/>
        <w:contextualSpacing/>
        <w:rPr>
          <w:rFonts w:eastAsia="Calibri"/>
        </w:rPr>
      </w:pPr>
      <w:r>
        <w:rPr>
          <w:rFonts w:eastAsia="Calibri"/>
        </w:rPr>
        <w:t xml:space="preserve">Естественный прирост населения Югры за 2024 год составил </w:t>
      </w:r>
      <w:r>
        <w:t xml:space="preserve">7,4 тыс. человек (за 2023 год – 21,0 тыс. человек, за 2022 год – 7,9 тыс. человек</w:t>
      </w:r>
      <w:r>
        <w:rPr>
          <w:rFonts w:eastAsia="Calibri"/>
        </w:rPr>
        <w:t xml:space="preserve">). </w:t>
      </w:r>
      <w:r>
        <w:rPr>
          <w:rFonts w:eastAsia="Calibri"/>
        </w:rPr>
      </w:r>
    </w:p>
    <w:p>
      <w:pPr>
        <w:spacing w:line="276" w:lineRule="auto"/>
        <w:jc w:val="right"/>
        <w:rPr>
          <w:rFonts w:eastAsia="Calibri"/>
          <w:color w:val="000000"/>
        </w:rPr>
      </w:pPr>
      <w:r>
        <w:rPr>
          <w:rFonts w:eastAsia="Calibri"/>
          <w:color w:val="000000"/>
        </w:rPr>
      </w:r>
      <w:r>
        <w:rPr>
          <w:rFonts w:eastAsia="Calibri"/>
          <w:color w:val="000000"/>
        </w:rPr>
      </w:r>
    </w:p>
    <w:p>
      <w:pPr>
        <w:spacing w:line="276" w:lineRule="auto"/>
        <w:jc w:val="right"/>
        <w:rPr>
          <w:rFonts w:eastAsia="Calibri"/>
          <w:color w:val="000000"/>
        </w:rPr>
      </w:pPr>
      <w:r>
        <w:rPr>
          <w:rFonts w:eastAsia="Calibri"/>
          <w:color w:val="000000"/>
        </w:rPr>
        <w:t xml:space="preserve">Таблица 1.1</w:t>
      </w:r>
      <w:r>
        <w:rPr>
          <w:rFonts w:eastAsia="Calibri"/>
          <w:color w:val="000000"/>
        </w:rPr>
      </w:r>
    </w:p>
    <w:p>
      <w:pPr>
        <w:spacing w:line="276" w:lineRule="auto"/>
        <w:ind w:firstLine="0"/>
        <w:jc w:val="center"/>
        <w:rPr>
          <w:b/>
        </w:rPr>
      </w:pPr>
      <w:r>
        <w:rPr>
          <w:b/>
        </w:rPr>
        <w:t xml:space="preserve">Численность постоянного населения </w:t>
      </w:r>
      <w:r>
        <w:rPr>
          <w:b/>
        </w:rPr>
        <w:br/>
        <w:t xml:space="preserve">на 1 января года, предшествующего отчетному, </w:t>
      </w:r>
      <w:r>
        <w:rPr>
          <w:b/>
        </w:rPr>
        <w:br/>
        <w:t xml:space="preserve">а также в среднем за год, предшествующий отчетному </w:t>
      </w:r>
      <w:r>
        <w:rPr>
          <w:b/>
        </w:rPr>
        <w:br/>
        <w:t xml:space="preserve">(с разбивкой по половозрастным характеристикам)</w:t>
      </w:r>
      <w:r>
        <w:rPr>
          <w:b/>
        </w:rPr>
      </w:r>
    </w:p>
    <w:tbl>
      <w:tblPr>
        <w:tblW w:w="9229" w:type="dxa"/>
        <w:tblInd w:w="93" w:type="dxa"/>
        <w:tblLook w:val="04A0" w:firstRow="1" w:lastRow="0" w:firstColumn="1" w:lastColumn="0" w:noHBand="0" w:noVBand="1"/>
      </w:tblPr>
      <w:tblGrid>
        <w:gridCol w:w="5005"/>
        <w:gridCol w:w="1560"/>
        <w:gridCol w:w="1417"/>
        <w:gridCol w:w="1247"/>
      </w:tblGrid>
      <w:tr>
        <w:trPr>
          <w:trHeight w:val="227"/>
        </w:trPr>
        <w:tc>
          <w:tcPr>
            <w:tcW w:w="5005" w:type="dxa"/>
            <w:vMerge w:val="restart"/>
            <w:tcBorders>
              <w:top w:val="single" w:color="000000" w:sz="4" w:space="0"/>
              <w:left w:val="single" w:color="000000" w:sz="4" w:space="0"/>
              <w:bottom w:val="single" w:color="000000" w:sz="4" w:space="0"/>
              <w:right w:val="single" w:color="000000" w:sz="4" w:space="0"/>
            </w:tcBorders>
            <w:shd w:val="clear" w:color="ffffff" w:fill="ffffff"/>
            <w:noWrap/>
            <w:textDirection w:val="lrTb"/>
            <w:vAlign w:val="center"/>
          </w:tcPr>
          <w:p>
            <w:pPr>
              <w:spacing w:line="240" w:lineRule="auto"/>
              <w:ind w:firstLine="0"/>
              <w:jc w:val="center"/>
              <w:rPr>
                <w:color w:val="000000"/>
                <w:sz w:val="24"/>
                <w:szCs w:val="24"/>
              </w:rPr>
            </w:pPr>
            <w:r>
              <w:rPr>
                <w:color w:val="000000"/>
                <w:sz w:val="24"/>
                <w:szCs w:val="24"/>
              </w:rPr>
              <w:t xml:space="preserve">Возраст (лет)</w:t>
            </w:r>
            <w:r>
              <w:rPr>
                <w:color w:val="000000"/>
                <w:sz w:val="24"/>
                <w:szCs w:val="24"/>
              </w:rPr>
            </w:r>
          </w:p>
        </w:tc>
        <w:tc>
          <w:tcPr>
            <w:tcW w:w="4224" w:type="dxa"/>
            <w:gridSpan w:val="3"/>
            <w:tcBorders>
              <w:top w:val="single" w:color="000000" w:sz="4" w:space="0"/>
              <w:left w:val="none" w:color="000000" w:sz="4" w:space="0"/>
              <w:bottom w:val="single" w:color="000000" w:sz="4" w:space="0"/>
              <w:right w:val="single" w:color="000000" w:sz="4" w:space="0"/>
            </w:tcBorders>
            <w:shd w:val="clear" w:color="ffffff" w:fill="ffffff"/>
            <w:noWrap/>
            <w:textDirection w:val="lrTb"/>
            <w:vAlign w:val="center"/>
          </w:tcPr>
          <w:p>
            <w:pPr>
              <w:spacing w:line="240" w:lineRule="auto"/>
              <w:ind w:firstLine="0"/>
              <w:jc w:val="center"/>
              <w:rPr>
                <w:color w:val="000000"/>
                <w:sz w:val="24"/>
                <w:szCs w:val="24"/>
              </w:rPr>
            </w:pPr>
            <w:r>
              <w:rPr>
                <w:color w:val="000000"/>
                <w:sz w:val="24"/>
                <w:szCs w:val="24"/>
              </w:rPr>
              <w:t xml:space="preserve">Все население (чел.)</w:t>
            </w:r>
            <w:r>
              <w:rPr>
                <w:color w:val="000000"/>
                <w:sz w:val="24"/>
                <w:szCs w:val="24"/>
              </w:rPr>
            </w:r>
          </w:p>
        </w:tc>
      </w:tr>
      <w:tr>
        <w:trPr>
          <w:trHeight w:val="227"/>
        </w:trPr>
        <w:tc>
          <w:tcPr>
            <w:tcW w:w="5005" w:type="dxa"/>
            <w:vMerge w:val="continue"/>
            <w:tcBorders>
              <w:top w:val="single" w:color="000000" w:sz="4" w:space="0"/>
              <w:left w:val="single" w:color="000000" w:sz="4" w:space="0"/>
              <w:bottom w:val="single" w:color="000000" w:sz="4" w:space="0"/>
              <w:right w:val="single" w:color="000000" w:sz="4" w:space="0"/>
            </w:tcBorders>
            <w:noWrap w:val="false"/>
            <w:textDirection w:val="lrTb"/>
            <w:vAlign w:val="center"/>
          </w:tcPr>
          <w:p>
            <w:pPr>
              <w:spacing w:line="240" w:lineRule="auto"/>
              <w:ind w:firstLine="0"/>
              <w:jc w:val="left"/>
              <w:rPr>
                <w:color w:val="000000"/>
                <w:sz w:val="24"/>
                <w:szCs w:val="24"/>
              </w:rPr>
            </w:pPr>
            <w:r>
              <w:rPr>
                <w:color w:val="000000"/>
                <w:sz w:val="24"/>
                <w:szCs w:val="24"/>
              </w:rPr>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мужчины и женщины </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textDirection w:val="lrTb"/>
            <w:vAlign w:val="center"/>
          </w:tcPr>
          <w:p>
            <w:pPr>
              <w:spacing w:line="240" w:lineRule="auto"/>
              <w:ind w:firstLine="0"/>
              <w:jc w:val="center"/>
              <w:rPr>
                <w:color w:val="000000"/>
                <w:sz w:val="24"/>
                <w:szCs w:val="24"/>
              </w:rPr>
            </w:pPr>
            <w:r>
              <w:rPr>
                <w:color w:val="000000"/>
                <w:sz w:val="24"/>
                <w:szCs w:val="24"/>
              </w:rPr>
              <w:t xml:space="preserve">мужчины</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textDirection w:val="lrTb"/>
            <w:vAlign w:val="center"/>
          </w:tcPr>
          <w:p>
            <w:pPr>
              <w:spacing w:line="240" w:lineRule="auto"/>
              <w:ind w:firstLine="0"/>
              <w:jc w:val="center"/>
              <w:rPr>
                <w:color w:val="000000"/>
                <w:sz w:val="24"/>
                <w:szCs w:val="24"/>
              </w:rPr>
            </w:pPr>
            <w:r>
              <w:rPr>
                <w:color w:val="000000"/>
                <w:sz w:val="24"/>
                <w:szCs w:val="24"/>
              </w:rPr>
              <w:t xml:space="preserve">женщины</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Численность постоянного населения на 01.01.2024, в том числе в возрасте:</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1 759 386</w:t>
            </w:r>
            <w:r>
              <w:rPr>
                <w:b/>
                <w:bCs/>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845 480</w:t>
            </w:r>
            <w:r>
              <w:rPr>
                <w:b/>
                <w:bCs/>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913 906</w:t>
            </w:r>
            <w:r>
              <w:rPr>
                <w:b/>
                <w:bCs/>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14-60</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1 148 398</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562 171</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586 227</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0-17, из них:</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437 518</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224 607</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212 911</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color w:val="000000"/>
                <w:sz w:val="24"/>
                <w:szCs w:val="24"/>
              </w:rPr>
              <w:t xml:space="preserve">0-13</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344 025</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176 488</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167 537</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color w:val="000000"/>
                <w:sz w:val="24"/>
                <w:szCs w:val="24"/>
              </w:rPr>
              <w:t xml:space="preserve">0-14</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369 098</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189 279</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179 819</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color w:val="000000"/>
                <w:sz w:val="24"/>
                <w:szCs w:val="24"/>
              </w:rPr>
              <w:t xml:space="preserve">14-17</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93 493</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48 119</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45 374</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18-24</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131 708</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65 231</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66 477</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25-29</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96 604</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49 755</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46 849</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30-34</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125 394</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62 058</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63 336</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35-39</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169 430</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83 942</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85 488</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40-44</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156 129</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74 973</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81 156</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45-49</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135 397</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64 295</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71 102</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50 и старше, из них:</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507 206</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220 619</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286 587</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color w:val="000000"/>
                <w:sz w:val="24"/>
                <w:szCs w:val="24"/>
              </w:rPr>
              <w:t xml:space="preserve">50-54</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115 886</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55 565</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60 321</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color w:val="000000"/>
                <w:sz w:val="24"/>
                <w:szCs w:val="24"/>
              </w:rPr>
              <w:t xml:space="preserve">55-59</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102 212</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48 275</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53 937</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720"/>
              <w:jc w:val="left"/>
              <w:rPr>
                <w:color w:val="000000"/>
                <w:sz w:val="24"/>
                <w:szCs w:val="24"/>
              </w:rPr>
            </w:pPr>
            <w:r>
              <w:rPr>
                <w:bCs/>
                <w:color w:val="000000"/>
                <w:sz w:val="24"/>
                <w:szCs w:val="24"/>
              </w:rPr>
              <w:t xml:space="preserve">60 и старше</w:t>
            </w:r>
            <w:r>
              <w:rPr>
                <w:color w:val="000000"/>
                <w:sz w:val="24"/>
                <w:szCs w:val="24"/>
              </w:rPr>
            </w:r>
          </w:p>
        </w:tc>
        <w:tc>
          <w:tcPr>
            <w:tcW w:w="1560"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289 108</w:t>
            </w:r>
            <w:r>
              <w:rPr>
                <w:color w:val="000000"/>
                <w:sz w:val="24"/>
                <w:szCs w:val="24"/>
              </w:rPr>
            </w:r>
          </w:p>
        </w:tc>
        <w:tc>
          <w:tcPr>
            <w:tcW w:w="141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116 779</w:t>
            </w:r>
            <w:r>
              <w:rPr>
                <w:color w:val="000000"/>
                <w:sz w:val="24"/>
                <w:szCs w:val="24"/>
              </w:rPr>
            </w:r>
          </w:p>
        </w:tc>
        <w:tc>
          <w:tcPr>
            <w:tcW w:w="1247" w:type="dxa"/>
            <w:tcBorders>
              <w:top w:val="non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172 329</w:t>
            </w:r>
            <w:r>
              <w:rPr>
                <w:color w:val="000000"/>
                <w:sz w:val="24"/>
                <w:szCs w:val="24"/>
              </w:rPr>
            </w:r>
          </w:p>
        </w:tc>
      </w:tr>
      <w:tr>
        <w:trPr>
          <w:trHeight w:val="227"/>
        </w:trPr>
        <w:tc>
          <w:tcPr>
            <w:tcW w:w="5005" w:type="dxa"/>
            <w:tcBorders>
              <w:top w:val="none" w:color="000000" w:sz="4" w:space="0"/>
              <w:left w:val="singl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2024 год </w:t>
            </w:r>
            <w:r>
              <w:rPr>
                <w:color w:val="000000"/>
                <w:sz w:val="24"/>
                <w:szCs w:val="24"/>
              </w:rPr>
            </w:r>
          </w:p>
        </w:tc>
        <w:tc>
          <w:tcPr>
            <w:tcW w:w="4224" w:type="dxa"/>
            <w:gridSpan w:val="3"/>
            <w:tcBorders>
              <w:top w:val="single" w:color="000000" w:sz="4" w:space="0"/>
              <w:left w:val="none" w:color="000000" w:sz="4" w:space="0"/>
              <w:bottom w:val="single" w:color="000000" w:sz="4" w:space="0"/>
              <w:right w:val="single" w:color="000000" w:sz="4" w:space="0"/>
            </w:tcBorders>
            <w:shd w:val="clear" w:color="ffffff" w:fill="ffffff"/>
            <w:noWrap w:val="false"/>
            <w:textDirection w:val="lrTb"/>
            <w:vAlign w:val="center"/>
          </w:tcPr>
          <w:p>
            <w:pPr>
              <w:spacing w:line="240" w:lineRule="auto"/>
              <w:ind w:firstLine="0"/>
              <w:jc w:val="center"/>
              <w:rPr>
                <w:color w:val="000000"/>
                <w:sz w:val="24"/>
                <w:szCs w:val="24"/>
              </w:rPr>
            </w:pPr>
            <w:r>
              <w:rPr>
                <w:color w:val="000000"/>
                <w:sz w:val="24"/>
                <w:szCs w:val="24"/>
              </w:rPr>
              <w:t xml:space="preserve">1 770 584</w:t>
            </w:r>
            <w:r>
              <w:rPr>
                <w:color w:val="000000"/>
                <w:sz w:val="24"/>
                <w:szCs w:val="24"/>
              </w:rPr>
            </w:r>
          </w:p>
        </w:tc>
      </w:tr>
    </w:tbl>
    <w:p>
      <w:pPr>
        <w:spacing w:line="240" w:lineRule="auto"/>
        <w:ind w:firstLine="709"/>
      </w:pPr>
    </w:p>
    <w:p>
      <w:pPr>
        <w:spacing w:line="276" w:lineRule="auto"/>
        <w:jc w:val="right"/>
        <w:rPr>
          <w:rFonts w:eastAsia="Calibri"/>
          <w:color w:val="000000"/>
        </w:rPr>
      </w:pPr>
      <w:r>
        <w:rPr>
          <w:rFonts w:eastAsia="Calibri"/>
          <w:color w:val="000000"/>
        </w:rPr>
      </w:r>
      <w:r>
        <w:rPr>
          <w:rFonts w:eastAsia="Calibri"/>
          <w:color w:val="000000"/>
        </w:rPr>
      </w:r>
    </w:p>
    <w:p>
      <w:pPr>
        <w:spacing w:line="276" w:lineRule="auto"/>
        <w:jc w:val="right"/>
        <w:rPr>
          <w:rFonts w:eastAsia="Calibri"/>
          <w:color w:val="000000"/>
        </w:rPr>
      </w:pPr>
      <w:r>
        <w:rPr>
          <w:rFonts w:eastAsia="Calibri"/>
          <w:color w:val="000000"/>
        </w:rPr>
        <w:t xml:space="preserve">Таблица 1.2</w:t>
      </w:r>
      <w:r>
        <w:rPr>
          <w:rFonts w:eastAsia="Calibri"/>
          <w:color w:val="000000"/>
        </w:rPr>
      </w:r>
    </w:p>
    <w:p>
      <w:pPr>
        <w:spacing w:line="276" w:lineRule="auto"/>
        <w:ind w:firstLine="0"/>
        <w:jc w:val="center"/>
        <w:rPr>
          <w:b/>
        </w:rPr>
      </w:pPr>
      <w:r>
        <w:rPr>
          <w:b/>
        </w:rPr>
        <w:t xml:space="preserve">Численность постоянного населения </w:t>
      </w:r>
      <w:r>
        <w:rPr>
          <w:b/>
        </w:rPr>
        <w:br/>
        <w:t xml:space="preserve">на 1 января 2025 года</w:t>
      </w:r>
      <w:r>
        <w:rPr>
          <w:b/>
        </w:rPr>
      </w:r>
    </w:p>
    <w:tbl>
      <w:tblPr>
        <w:tblW w:w="9351" w:type="dxa"/>
        <w:tblLook w:val="04A0" w:firstRow="1" w:lastRow="0" w:firstColumn="1" w:lastColumn="0" w:noHBand="0" w:noVBand="1"/>
      </w:tblPr>
      <w:tblGrid>
        <w:gridCol w:w="6658"/>
        <w:gridCol w:w="2693"/>
      </w:tblGrid>
      <w:tr>
        <w:trPr>
          <w:trHeight w:val="170"/>
        </w:trPr>
        <w:tc>
          <w:tcPr>
            <w:tcW w:w="6658" w:type="dxa"/>
            <w:tcBorders>
              <w:top w:val="single" w:color="auto" w:sz="4" w:space="0"/>
              <w:left w:val="single" w:color="auto" w:sz="4" w:space="0"/>
              <w:bottom w:val="single" w:color="auto" w:sz="4" w:space="0"/>
              <w:right w:val="single" w:color="auto" w:sz="4" w:space="0"/>
            </w:tcBorders>
            <w:noWrap/>
            <w:textDirection w:val="lrTb"/>
            <w:vAlign w:val="center"/>
          </w:tcPr>
          <w:p>
            <w:pPr>
              <w:spacing w:line="240" w:lineRule="auto"/>
              <w:ind w:firstLine="0"/>
              <w:jc w:val="center"/>
              <w:rPr>
                <w:color w:val="000000"/>
                <w:sz w:val="24"/>
                <w:szCs w:val="24"/>
              </w:rPr>
            </w:pPr>
            <w:r>
              <w:rPr>
                <w:color w:val="000000"/>
                <w:sz w:val="24"/>
                <w:szCs w:val="24"/>
              </w:rPr>
              <w:t xml:space="preserve">Возраст (лет)</w:t>
            </w:r>
            <w:r>
              <w:rPr>
                <w:color w:val="000000"/>
                <w:sz w:val="24"/>
                <w:szCs w:val="24"/>
              </w:rPr>
            </w:r>
          </w:p>
        </w:tc>
        <w:tc>
          <w:tcPr>
            <w:tcW w:w="2693"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Все население (чел.)</w:t>
            </w:r>
            <w:r>
              <w:rPr>
                <w:color w:val="000000"/>
                <w:sz w:val="24"/>
                <w:szCs w:val="24"/>
              </w:rPr>
            </w:r>
          </w:p>
        </w:tc>
      </w:tr>
      <w:tr>
        <w:trPr>
          <w:trHeight w:val="170"/>
        </w:trPr>
        <w:tc>
          <w:tcPr>
            <w:tcW w:w="6658"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Численность постоянного населения, из них в возрасте:</w:t>
            </w:r>
            <w:r>
              <w:rPr>
                <w:color w:val="000000"/>
                <w:sz w:val="24"/>
                <w:szCs w:val="24"/>
              </w:rPr>
            </w:r>
          </w:p>
        </w:tc>
        <w:tc>
          <w:tcPr>
            <w:tcW w:w="2693"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1 781 782</w:t>
            </w:r>
            <w:r>
              <w:rPr>
                <w:color w:val="000000"/>
                <w:sz w:val="24"/>
                <w:szCs w:val="24"/>
              </w:rPr>
            </w:r>
          </w:p>
        </w:tc>
      </w:tr>
      <w:tr>
        <w:trPr>
          <w:trHeight w:val="170"/>
        </w:trPr>
        <w:tc>
          <w:tcPr>
            <w:tcW w:w="6658"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480"/>
              <w:jc w:val="left"/>
              <w:rPr>
                <w:color w:val="000000"/>
                <w:sz w:val="24"/>
                <w:szCs w:val="24"/>
              </w:rPr>
            </w:pPr>
            <w:r>
              <w:rPr>
                <w:color w:val="000000"/>
                <w:sz w:val="24"/>
                <w:szCs w:val="24"/>
              </w:rPr>
              <w:t xml:space="preserve">0-17</w:t>
            </w:r>
            <w:r>
              <w:rPr>
                <w:color w:val="000000"/>
                <w:sz w:val="24"/>
                <w:szCs w:val="24"/>
              </w:rPr>
            </w:r>
          </w:p>
        </w:tc>
        <w:tc>
          <w:tcPr>
            <w:tcW w:w="2693"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437 518</w:t>
            </w:r>
            <w:r>
              <w:rPr>
                <w:color w:val="000000"/>
                <w:sz w:val="24"/>
                <w:szCs w:val="24"/>
              </w:rPr>
            </w:r>
          </w:p>
        </w:tc>
      </w:tr>
      <w:tr>
        <w:trPr>
          <w:trHeight w:val="170"/>
        </w:trPr>
        <w:tc>
          <w:tcPr>
            <w:tcW w:w="6658"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480"/>
              <w:jc w:val="left"/>
              <w:rPr>
                <w:color w:val="000000"/>
                <w:sz w:val="24"/>
                <w:szCs w:val="24"/>
              </w:rPr>
            </w:pPr>
            <w:r>
              <w:rPr>
                <w:color w:val="000000"/>
                <w:sz w:val="24"/>
                <w:szCs w:val="24"/>
              </w:rPr>
              <w:t xml:space="preserve">14-17</w:t>
            </w:r>
            <w:r>
              <w:rPr>
                <w:color w:val="000000"/>
                <w:sz w:val="24"/>
                <w:szCs w:val="24"/>
              </w:rPr>
            </w:r>
          </w:p>
        </w:tc>
        <w:tc>
          <w:tcPr>
            <w:tcW w:w="2693"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93 810</w:t>
            </w:r>
            <w:r>
              <w:rPr>
                <w:color w:val="000000"/>
                <w:sz w:val="24"/>
                <w:szCs w:val="24"/>
              </w:rPr>
            </w:r>
          </w:p>
        </w:tc>
      </w:tr>
    </w:tbl>
    <w:p>
      <w:pPr>
        <w:spacing w:line="276" w:lineRule="auto"/>
        <w:ind w:firstLine="0"/>
        <w:jc w:val="center"/>
        <w:rPr>
          <w:b/>
        </w:rPr>
      </w:pPr>
      <w:r>
        <w:rPr>
          <w:b/>
        </w:rPr>
      </w:r>
      <w:r>
        <w:rPr>
          <w:b/>
        </w:rPr>
      </w:r>
    </w:p>
    <w:p>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Средний возраст населения Ханты-Мансийского автономного округа – Югры на 1 января 2024 года составил 36,8 лет, увеличивш</w:t>
      </w:r>
      <w:r>
        <w:rPr>
          <w:rFonts w:eastAsia="Calibri"/>
        </w:rPr>
        <w:t xml:space="preserve">ись на 0,35 лет в сравнении аналогичной датой 2023 года (36,45 лет). Средний возраст граждан автономного округа на 4,17 года моложе, чем средний возраст граждан Российской Федерации (40,97 лет). На начало 2024 года в структуре населения автономного округа:</w:t>
      </w:r>
      <w:r>
        <w:rPr>
          <w:rFonts w:eastAsia="Calibri"/>
        </w:rPr>
      </w:r>
    </w:p>
    <w:p>
      <w:pPr>
        <w:spacing w:line="276" w:lineRule="auto"/>
        <w:ind w:firstLine="709"/>
        <w:rPr>
          <w:rFonts w:eastAsia="Calibri"/>
        </w:rPr>
      </w:pPr>
      <w:r>
        <w:rPr>
          <w:rFonts w:eastAsia="Calibri"/>
        </w:rPr>
        <w:t xml:space="preserve">- доля лиц моложе трудоспособного возраста составила 22,4% (на 1 января 2023 года – 22,5%), что на 4,0 % выше, чем в среднем по России (18,4%);</w:t>
      </w:r>
      <w:r>
        <w:rPr>
          <w:rFonts w:eastAsia="Calibri"/>
        </w:rPr>
      </w:r>
    </w:p>
    <w:p>
      <w:pPr>
        <w:spacing w:line="276" w:lineRule="auto"/>
        <w:ind w:firstLine="709"/>
        <w:rPr>
          <w:rFonts w:eastAsia="Calibri"/>
        </w:rPr>
      </w:pPr>
      <w:r>
        <w:rPr>
          <w:rFonts w:eastAsia="Calibri"/>
        </w:rPr>
        <w:t xml:space="preserve">- доля трудоспособного населения – 61,6% (на 1 января 2023 года – 61,5%), что на 3,6% выше, чем по Российской Федерации (58,0%);</w:t>
      </w:r>
      <w:r>
        <w:rPr>
          <w:rFonts w:eastAsia="Calibri"/>
        </w:rPr>
      </w:r>
    </w:p>
    <w:p>
      <w:pPr>
        <w:spacing w:line="276" w:lineRule="auto"/>
        <w:ind w:firstLine="709"/>
        <w:rPr>
          <w:rFonts w:eastAsia="Calibri"/>
        </w:rPr>
      </w:pPr>
      <w:r>
        <w:rPr>
          <w:rFonts w:eastAsia="Calibri"/>
        </w:rPr>
        <w:t xml:space="preserve">- доля граждан старше трудоспособного возраста – 16,0% (на 1 января 2023 года – 16,6%), что на 7,7% ниже, чем в среднем по Российской Федерации (23,7%).</w:t>
      </w:r>
      <w:r>
        <w:rPr>
          <w:rFonts w:eastAsia="Calibri"/>
        </w:rPr>
      </w:r>
    </w:p>
    <w:p>
      <w:pPr>
        <w:spacing w:line="276" w:lineRule="auto"/>
        <w:ind w:firstLine="709"/>
        <w:rPr>
          <w:rFonts w:eastAsia="Calibri"/>
        </w:rPr>
      </w:pPr>
      <w:r>
        <w:rPr>
          <w:rFonts w:eastAsia="Calibri"/>
        </w:rPr>
        <w:t xml:space="preserve">По итогам 2023 года в структуре населения Югры в сравнении с 2022 годом наблюдается увеличение числа граждан трудоспособного возраста на 0,1%, уменьшение лиц моложе трудоспособного возраста на 0,1% и старше трудоспособного населения на 0,6%</w:t>
      </w:r>
      <w:r>
        <w:rPr>
          <w:rStyle w:val="1618"/>
          <w:rFonts w:eastAsia="Calibri"/>
        </w:rPr>
        <w:footnoteReference w:id="4"/>
      </w:r>
      <w:r>
        <w:rPr>
          <w:rFonts w:eastAsia="Calibri"/>
        </w:rPr>
        <w:t xml:space="preserve">.</w:t>
      </w:r>
      <w:r>
        <w:rPr>
          <w:rFonts w:eastAsia="Calibri"/>
        </w:rPr>
      </w:r>
    </w:p>
    <w:p>
      <w:pPr>
        <w:spacing w:line="276" w:lineRule="auto"/>
        <w:ind w:firstLine="709"/>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 xml:space="preserve">социально-экономическое положение</w:t>
      </w:r>
      <w:r>
        <w:t xml:space="preserve">.</w:t>
      </w:r>
    </w:p>
    <w:p>
      <w:pPr>
        <w:spacing w:line="276" w:lineRule="auto"/>
        <w:ind w:firstLine="709"/>
      </w:pPr>
    </w:p>
    <w:p>
      <w:pPr>
        <w:spacing w:line="276" w:lineRule="auto"/>
        <w:ind w:firstLine="709"/>
      </w:pPr>
    </w:p>
    <w:p>
      <w:pPr>
        <w:spacing w:line="276" w:lineRule="auto"/>
        <w:ind w:firstLine="709"/>
      </w:pPr>
    </w:p>
    <w:p>
      <w:pPr>
        <w:spacing w:line="276" w:lineRule="auto"/>
        <w:ind w:firstLine="709"/>
      </w:pPr>
    </w:p>
    <w:p>
      <w:pPr>
        <w:spacing w:line="276" w:lineRule="auto"/>
        <w:ind w:firstLine="709"/>
      </w:pPr>
    </w:p>
    <w:p>
      <w:pPr>
        <w:spacing w:line="276" w:lineRule="auto"/>
        <w:ind w:firstLine="709"/>
        <w:jc w:val="right"/>
      </w:pPr>
      <w:r>
        <w:t xml:space="preserve">Таблица 2</w:t>
      </w:r>
    </w:p>
    <w:p>
      <w:pPr>
        <w:widowControl w:val="off"/>
        <w:spacing w:line="276" w:lineRule="auto"/>
        <w:jc w:val="center"/>
        <w:rPr>
          <w:b/>
        </w:rPr>
      </w:pPr>
      <w:r>
        <w:rPr>
          <w:b/>
        </w:rPr>
        <w:t xml:space="preserve">Динамика социально-экономического развития </w:t>
      </w:r>
      <w:r>
        <w:rPr>
          <w:b/>
        </w:rPr>
      </w:r>
    </w:p>
    <w:p>
      <w:pPr>
        <w:widowControl w:val="off"/>
        <w:spacing w:line="276" w:lineRule="auto"/>
        <w:jc w:val="center"/>
        <w:rPr>
          <w:b/>
        </w:rPr>
      </w:pPr>
      <w:r>
        <w:rPr>
          <w:b/>
        </w:rPr>
        <w:t xml:space="preserve">Ханты-Мансийского автономного округа – Югры</w:t>
      </w:r>
      <w:r>
        <w:rPr>
          <w:b/>
        </w:rPr>
      </w:r>
    </w:p>
    <w:tbl>
      <w:tblPr>
        <w:tblW w:w="9493" w:type="dxa"/>
        <w:tblLook w:val="04A0" w:firstRow="1" w:lastRow="0" w:firstColumn="1" w:lastColumn="0" w:noHBand="0" w:noVBand="1"/>
      </w:tblPr>
      <w:tblGrid>
        <w:gridCol w:w="5240"/>
        <w:gridCol w:w="1418"/>
        <w:gridCol w:w="1417"/>
        <w:gridCol w:w="1418"/>
      </w:tblGrid>
      <w:tr>
        <w:trPr>
          <w:trHeight w:val="170"/>
        </w:trPr>
        <w:tc>
          <w:tcPr>
            <w:tcW w:w="5240" w:type="dxa"/>
            <w:vMerge w:val="restart"/>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Показатели</w:t>
            </w:r>
            <w:r>
              <w:rPr>
                <w:color w:val="000000"/>
                <w:sz w:val="24"/>
                <w:szCs w:val="24"/>
              </w:rPr>
            </w:r>
          </w:p>
        </w:tc>
        <w:tc>
          <w:tcPr>
            <w:tcW w:w="4253" w:type="dxa"/>
            <w:gridSpan w:val="3"/>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Январь-декабрь</w:t>
            </w:r>
            <w:r>
              <w:rPr>
                <w:color w:val="000000"/>
                <w:sz w:val="24"/>
                <w:szCs w:val="24"/>
              </w:rPr>
            </w:r>
          </w:p>
        </w:tc>
      </w:tr>
      <w:tr>
        <w:trPr>
          <w:trHeight w:val="170"/>
        </w:trPr>
        <w:tc>
          <w:tcPr>
            <w:tcW w:w="5240" w:type="dxa"/>
            <w:vMerge w:val="continue"/>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2022</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2023</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2024</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Индекс промышленного производства,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103,1</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98,5</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96,5</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877,8</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955,3</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975,7</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Среднедушевые доходы населения, рублей в месяц </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66 517,0</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72 634,0</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83 038,0</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Реальные денежные доходы населения,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109,9</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107,7</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108,4</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97 562,0</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108 148,0</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124 744,0</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Реальная заработная плата,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105,2</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108,4</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107,6</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Индекс физического объема оборота розничной торговли,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94,7</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109,4</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108,9</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Индекс физического объема платных услуг населению,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103,9</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104,3</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sz w:val="24"/>
                <w:szCs w:val="24"/>
              </w:rPr>
              <w:t xml:space="preserve">109,7</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Индекс потребительских цен и тарифов на конец периода, в % к предыдущему году</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107,1</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104,6</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107,9</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4 628,3</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3 904,8</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5 126,0</w:t>
            </w:r>
            <w:r>
              <w:rPr>
                <w:color w:val="000000"/>
                <w:sz w:val="24"/>
                <w:szCs w:val="24"/>
              </w:rPr>
            </w:r>
          </w:p>
        </w:tc>
      </w:tr>
      <w:tr>
        <w:trPr>
          <w:trHeight w:val="170"/>
        </w:trPr>
        <w:tc>
          <w:tcPr>
            <w:tcW w:w="5240"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в %</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0,4</w:t>
            </w:r>
            <w:r>
              <w:rPr>
                <w:color w:val="000000"/>
                <w:sz w:val="24"/>
                <w:szCs w:val="24"/>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0,3</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0,2</w:t>
            </w:r>
            <w:r>
              <w:rPr>
                <w:color w:val="000000"/>
                <w:sz w:val="24"/>
                <w:szCs w:val="24"/>
              </w:rPr>
            </w:r>
          </w:p>
        </w:tc>
      </w:tr>
    </w:tbl>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276" w:lineRule="auto"/>
        <w:ind w:firstLine="709"/>
        <w:outlineLvl w:val="1"/>
        <w:rPr>
          <w:b/>
          <w:highlight w:val="yellow"/>
        </w:rPr>
      </w:pPr>
      <w:r>
        <w:rPr>
          <w:b/>
          <w:highlight w:val="yellow"/>
        </w:rPr>
      </w:r>
      <w:r>
        <w:rPr>
          <w:b/>
          <w:highlight w:val="yellow"/>
        </w:rPr>
      </w:r>
    </w:p>
    <w:p>
      <w:pPr>
        <w:pStyle w:val="1622"/>
        <w:shd w:val="clear" w:color="ffffff" w:themeColor="background1" w:fill="ffffff" w:themeFill="background1"/>
        <w:spacing w:after="0" w:line="276" w:lineRule="auto"/>
        <w:ind w:firstLine="709"/>
        <w:contextualSpacing/>
        <w:jc w:val="both"/>
        <w:rPr>
          <w:sz w:val="28"/>
          <w:szCs w:val="28"/>
        </w:rPr>
      </w:pPr>
      <w:r>
        <w:rPr>
          <w:b/>
          <w:i/>
          <w:sz w:val="28"/>
          <w:szCs w:val="28"/>
        </w:rPr>
        <w:t xml:space="preserve">Хозяйствующие субъекты</w:t>
      </w:r>
      <w:r>
        <w:rPr>
          <w:b/>
          <w:sz w:val="28"/>
          <w:szCs w:val="28"/>
        </w:rPr>
        <w:t xml:space="preserve">.</w:t>
      </w:r>
      <w:r>
        <w:rPr>
          <w:sz w:val="28"/>
          <w:szCs w:val="28"/>
        </w:rPr>
        <w:t xml:space="preserve"> На начало 2025 года в автономном округе было учтено 27,5 тыс. юридических лиц. Большинство организаций относилось к видам </w:t>
      </w:r>
      <w:r>
        <w:rPr>
          <w:sz w:val="28"/>
          <w:szCs w:val="28"/>
        </w:rPr>
        <w:t xml:space="preserve">деятельности: оптовая и розничная торговля, ремонт автотранспортных средств и мотоциклов (18,4%), строительство (13,5%), транспортировка и хранение (10,6%), деятельность по операциям с недвижимым имуществом (7,4%), деятельность профессиональная, научная и </w:t>
      </w:r>
      <w:r>
        <w:rPr>
          <w:sz w:val="28"/>
          <w:szCs w:val="28"/>
        </w:rPr>
        <w:t xml:space="preserve">техническая (7,3%). Основная часть (85,6%) учтенных юридических лиц имели частную форму собственности. </w:t>
      </w:r>
      <w:r>
        <w:rPr>
          <w:sz w:val="28"/>
          <w:szCs w:val="28"/>
        </w:rPr>
      </w:r>
    </w:p>
    <w:p>
      <w:pPr>
        <w:spacing w:line="276" w:lineRule="auto"/>
        <w:ind w:firstLine="709"/>
        <w:contextualSpacing/>
      </w:pPr>
      <w:r>
        <w:t xml:space="preserve">Финансово-хозяйств</w:t>
      </w:r>
      <w:r>
        <w:t xml:space="preserve">енная деятельность организаций по данным бухгалтерской (финансовой) отчетности за 2024 год характеризовалась положительным сальдированным результатом в размере 2202,8 млрд рублей (за 2023 год – 2535,8 млрд). Доля прибыльных организаций составила 81,4% от о</w:t>
      </w:r>
      <w:r>
        <w:t xml:space="preserve">бщего количества с общей суммой прибыли 2283,1 млрд рублей (в 2023 году – соответственно 81,2% и 2646,0 млрд рублей). Доля убыточных организаций составила 18,6% с общей суммой убытка 80,3 млрд рублей (в 2023 году – соответственно 18,8% и 110,1 млрд рублей)</w:t>
      </w:r>
      <w:r>
        <w:rPr>
          <w:rStyle w:val="1618"/>
        </w:rPr>
        <w:footnoteReference w:id="5"/>
      </w:r>
      <w:r>
        <w:t xml:space="preserve">.</w:t>
      </w:r>
    </w:p>
    <w:p>
      <w:pPr>
        <w:spacing w:line="276" w:lineRule="auto"/>
        <w:ind w:firstLine="709"/>
      </w:pPr>
      <w:r>
        <w:t xml:space="preserve">В январе – </w:t>
      </w:r>
      <w:r>
        <w:t xml:space="preserve">ноябре 2025 года</w:t>
      </w:r>
      <w:r>
        <w:t xml:space="preserve"> сальдированный финансовый результат (прибыль минус убыток) организаций (без субъектов малого предпринимательства, кредитных организаций, государственных (муниципальных) учреждений, </w:t>
      </w:r>
      <w:r>
        <w:t xml:space="preserve">некредитных</w:t>
      </w:r>
      <w:r>
        <w:t xml:space="preserve"> финансовых организаций) составил 199 683,2 млн рублей. Доля организаций, получивших прибыль, составила 69,2%</w:t>
      </w:r>
      <w:r>
        <w:rPr>
          <w:rStyle w:val="1618"/>
        </w:rPr>
        <w:footnoteReference w:id="6"/>
      </w:r>
      <w:r>
        <w:t xml:space="preserve">.</w:t>
      </w:r>
    </w:p>
    <w:p>
      <w:pPr>
        <w:shd w:val="clear" w:color="ffffff" w:themeColor="background1" w:fill="ffffff" w:themeFill="background1"/>
        <w:spacing w:line="276" w:lineRule="auto"/>
        <w:ind w:firstLine="709"/>
      </w:pPr>
      <w:r>
        <w:rPr>
          <w:b/>
          <w:i/>
        </w:rPr>
        <w:t xml:space="preserve">Инвестиции</w:t>
      </w:r>
      <w:r>
        <w:rPr>
          <w:b/>
        </w:rPr>
        <w:t xml:space="preserve">.</w:t>
      </w:r>
      <w:r>
        <w:t xml:space="preserve"> В 2024 году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1670,5 млрд рублей инвестиций в основной капитал.</w:t>
      </w:r>
    </w:p>
    <w:p>
      <w:pPr>
        <w:spacing w:line="276" w:lineRule="auto"/>
        <w:ind w:firstLine="709"/>
        <w:contextualSpacing/>
        <w:rPr>
          <w:bCs/>
          <w:iCs/>
        </w:rPr>
      </w:pPr>
      <w:r>
        <w:t xml:space="preserve">С</w:t>
      </w:r>
      <w:r>
        <w:rPr>
          <w:bCs/>
          <w:iCs/>
        </w:rPr>
        <w:t xml:space="preserve">обственные средства организаций</w:t>
      </w:r>
      <w:r>
        <w:t xml:space="preserve"> </w:t>
      </w:r>
      <w:r>
        <w:rPr>
          <w:bCs/>
          <w:iCs/>
        </w:rPr>
        <w:t xml:space="preserve">(без субъектов малого предпринимательства и объема инвестиций, не </w:t>
      </w:r>
      <w:r>
        <w:rPr>
          <w:bCs/>
          <w:iCs/>
        </w:rPr>
        <w:t xml:space="preserve">наблюдаемых прямыми статистическими методами) составили 87,7% (в 2023 году – 87,1%) от их общего объема. За счет привлеченных средств осуществлялось 12,3% инвестиций (против 12,9% в 2023 году), на долю средств бюджетов всех уровней приходилось 3,9% (3,8%).</w:t>
      </w:r>
      <w:r>
        <w:rPr>
          <w:bCs/>
          <w:iCs/>
        </w:rPr>
      </w:r>
    </w:p>
    <w:p>
      <w:pPr>
        <w:spacing w:line="276" w:lineRule="auto"/>
        <w:ind w:firstLine="709"/>
      </w:pPr>
      <w:r>
        <w:t xml:space="preserve">Наибольшая инвестиционная активность отмечена в организациях добычи полезных ископаемых (84,4% от общего объема инвестиций). </w:t>
      </w:r>
    </w:p>
    <w:p>
      <w:pPr>
        <w:spacing w:line="276" w:lineRule="auto"/>
        <w:ind w:firstLine="709"/>
        <w:contextualSpacing/>
        <w:rPr>
          <w:bCs/>
          <w:iCs/>
        </w:rPr>
      </w:pPr>
      <w: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w:t>
      </w:r>
      <w:r>
        <w:t xml:space="preserve">некредитных</w:t>
      </w:r>
      <w:r>
        <w:t xml:space="preserve"> финансовых организаций) оценивался в размере 8323,4 млрд рублей (в 2023 году – 8230,8 млрд). </w:t>
      </w:r>
      <w:r>
        <w:t xml:space="preserve">Долгосрочные финансовые вложения составили 2688,8 млрд рублей (32,3% от общего объема), краткосрочные – 5634,6 млрд (67,7%)</w:t>
      </w:r>
      <w:r>
        <w:rPr>
          <w:rStyle w:val="1618"/>
          <w:bCs/>
          <w:iCs/>
        </w:rPr>
        <w:footnoteReference w:id="7"/>
      </w:r>
      <w:r>
        <w:rPr>
          <w:bCs/>
          <w:iCs/>
        </w:rPr>
        <w:t xml:space="preserve">.</w:t>
      </w:r>
      <w:r>
        <w:rPr>
          <w:bCs/>
          <w:iCs/>
        </w:rPr>
      </w:r>
    </w:p>
    <w:p>
      <w:pPr>
        <w:shd w:val="clear" w:color="ffffff" w:themeColor="background1" w:fill="ffffff" w:themeFill="background1"/>
        <w:spacing w:line="276" w:lineRule="auto"/>
        <w:ind w:firstLine="709"/>
        <w:contextualSpacing/>
      </w:pPr>
      <w:r>
        <w:rPr>
          <w:b/>
          <w:i/>
        </w:rPr>
        <w:t xml:space="preserve">Промышленное производство</w:t>
      </w:r>
      <w:r>
        <w:rPr>
          <w:b/>
        </w:rPr>
        <w:t xml:space="preserve">. </w:t>
      </w:r>
      <w:r>
        <w:t xml:space="preserve">Индекс промышленного производства в 2024 году составил в среднем 96,5% (в добыче полезных ископа</w:t>
      </w:r>
      <w:r>
        <w:t xml:space="preserve">емых – 95,3%, в обрабатывающем секторе – 101,4%, в обеспечении электрической энергией, газом и паром, кондиционировании воздуха – 96,0%, водоснабжении; водоотведении, организации сбора и утилизации отходов, деятельности по ликвидации загрязнений – 107,7%).</w:t>
      </w:r>
    </w:p>
    <w:p>
      <w:pPr>
        <w:spacing w:line="276" w:lineRule="auto"/>
        <w:ind w:firstLine="709"/>
        <w:contextualSpacing/>
      </w:pPr>
      <w:r>
        <w:t xml:space="preserve">Индекс цен производителей промышленных товаров, реализованных на внутреннем рынке, в декабре 2024 года к декабрю предыдущего года сложился на уровне 110,2% (</w:t>
      </w:r>
      <w:r>
        <w:rPr>
          <w:iCs/>
        </w:rPr>
        <w:t xml:space="preserve">в добыче полезных ископаемых – 110,9%, обрабатывающих производствах – 107,8%, </w:t>
      </w:r>
      <w:r>
        <w:t xml:space="preserve">обеспечении электрической энергией, газом и паром, кондиционировании воздуха – 109,6%, водоснабжении; водоотведении, организации сбора и утилизации отходов, деятельности по ликвидации загрязнений – 98,3%)</w:t>
      </w:r>
      <w:r>
        <w:rPr>
          <w:rStyle w:val="1618"/>
        </w:rPr>
        <w:footnoteReference w:id="8"/>
      </w:r>
      <w:r>
        <w:t xml:space="preserve">.</w:t>
      </w:r>
    </w:p>
    <w:p>
      <w:pPr>
        <w:spacing w:line="276" w:lineRule="auto"/>
        <w:ind w:firstLine="709"/>
      </w:pPr>
      <w:r>
        <w:t xml:space="preserve">В последующие 12 месяцев 2025 года индекс промышленного производства в автономном округе к соответствующему периоду 2024 года составил 98,4%</w:t>
      </w:r>
      <w:r>
        <w:rPr>
          <w:rStyle w:val="1618"/>
        </w:rPr>
        <w:footnoteReference w:id="9"/>
      </w:r>
      <w:r>
        <w:t xml:space="preserve">.</w:t>
      </w:r>
    </w:p>
    <w:p>
      <w:pPr>
        <w:shd w:val="clear" w:color="ffffff" w:themeColor="background1" w:fill="ffffff" w:themeFill="background1"/>
        <w:spacing w:line="276" w:lineRule="auto"/>
        <w:ind w:firstLine="709"/>
        <w:rPr>
          <w:color w:val="000000"/>
        </w:rPr>
      </w:pPr>
      <w:r>
        <w:rPr>
          <w:b/>
          <w:i/>
        </w:rPr>
        <w:t xml:space="preserve">Сельское хозяйство</w:t>
      </w:r>
      <w:r>
        <w:rPr>
          <w:b/>
        </w:rPr>
        <w:t xml:space="preserve">.</w:t>
      </w:r>
      <w:r>
        <w:t xml:space="preserve"> </w:t>
      </w:r>
      <w:r>
        <w:rPr>
          <w:color w:val="000000"/>
        </w:rPr>
        <w:t xml:space="preserve">Индекс производства продукции сельского хозяйства в хозяйствах всех категорий в 2024 году составил 93,9% к ур</w:t>
      </w:r>
      <w:r>
        <w:rPr>
          <w:color w:val="000000"/>
        </w:rPr>
        <w:t xml:space="preserve">овню предыдущего года (по сельскохозяйственным организациям – 101,8%, хозяйствам населения – 93,8%, крестьянским (фермерским) хозяйствам, индивидуальным предпринимателям – 87,9%). Объем продукции растениеводства снизился на 4,5%, животноводства – на 8,5%. </w:t>
      </w:r>
      <w:r>
        <w:rPr>
          <w:color w:val="000000"/>
        </w:rPr>
      </w:r>
    </w:p>
    <w:p>
      <w:pPr>
        <w:spacing w:line="276" w:lineRule="auto"/>
        <w:ind w:firstLine="709"/>
        <w:contextualSpacing/>
      </w:pPr>
      <w:r>
        <w:t xml:space="preserve">В расчете на душу населения производство картофеля составило 29 кг, овощей – 11 кг, молока – 12 кг, мяса (в убойном весе) – 6 кг, яиц – 28 штук. </w:t>
      </w:r>
    </w:p>
    <w:p>
      <w:pPr>
        <w:spacing w:line="276" w:lineRule="auto"/>
        <w:ind w:firstLine="709"/>
        <w:contextualSpacing/>
      </w:pPr>
      <w:r>
        <w:t xml:space="preserve">Индекс цен производителей сельскохозяйственной продукции, реализованной сельскохозяйственными организациями, в декабре 2024 года к декабрю предыдущего года составил 139,1%</w:t>
      </w:r>
      <w:r>
        <w:rPr>
          <w:rStyle w:val="1618"/>
        </w:rPr>
        <w:footnoteReference w:id="10"/>
      </w:r>
      <w:r>
        <w:t xml:space="preserve">. </w:t>
      </w:r>
    </w:p>
    <w:p>
      <w:pPr>
        <w:pStyle w:val="1622"/>
        <w:shd w:val="clear" w:color="ffffff" w:themeColor="background1" w:fill="ffffff" w:themeFill="background1"/>
        <w:spacing w:after="0" w:line="276" w:lineRule="auto"/>
        <w:ind w:firstLine="709"/>
        <w:contextualSpacing/>
        <w:jc w:val="both"/>
        <w:rPr>
          <w:sz w:val="28"/>
          <w:szCs w:val="28"/>
        </w:rPr>
      </w:pPr>
      <w:r>
        <w:rPr>
          <w:b/>
          <w:i/>
          <w:sz w:val="28"/>
          <w:szCs w:val="28"/>
        </w:rPr>
        <w:t xml:space="preserve">Строительство.</w:t>
      </w:r>
      <w:r>
        <w:rPr>
          <w:sz w:val="28"/>
          <w:szCs w:val="28"/>
        </w:rPr>
        <w:t xml:space="preserve"> В 2024 году строительными организациями выполнено работ собственными силами на сумму 543,5 млрд рублей (105,5% к предыдущему году).</w:t>
      </w:r>
      <w:r>
        <w:rPr>
          <w:sz w:val="28"/>
          <w:szCs w:val="28"/>
        </w:rPr>
      </w:r>
    </w:p>
    <w:p>
      <w:pPr>
        <w:spacing w:line="276" w:lineRule="auto"/>
        <w:ind w:firstLine="709"/>
        <w:contextualSpacing/>
      </w:pPr>
      <w:r>
        <w:t xml:space="preserve">За год введено в действие 3,5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1499,5 тыс. кв. метров (107,2% к уровню 2023 года).</w:t>
      </w:r>
    </w:p>
    <w:p>
      <w:pPr>
        <w:spacing w:line="276" w:lineRule="auto"/>
        <w:ind w:firstLine="709"/>
        <w:contextualSpacing/>
      </w:pPr>
      <w:r>
        <w:t xml:space="preserve">Организациями всех форм собственности и населением построено 13,6 тыс. квартир общей площадью жилых помещений 975,7 тыс. кв. метров. В расчете на 1000 населения ввод жилых домов составил 551 кв. метр. </w:t>
      </w:r>
    </w:p>
    <w:p>
      <w:pPr>
        <w:spacing w:line="276" w:lineRule="auto"/>
        <w:ind w:firstLine="709"/>
        <w:contextualSpacing/>
      </w:pPr>
      <w:r>
        <w:t xml:space="preserve">Ввод жилья населением за счет собственных и привлеченных средств (с учетом </w:t>
      </w:r>
      <w:r>
        <w:rPr>
          <w:rFonts w:eastAsia="Tahoma"/>
        </w:rPr>
        <w:t xml:space="preserve">жилых домов, построенных на земельных участках, предназначенных для ведения садоводства)</w:t>
      </w:r>
      <w:r>
        <w:t xml:space="preserve"> равнялся 335,0 тыс. кв. метров. Доля индивидуального домостроения в общем вводе жилых домов составила 34,3%.</w:t>
      </w:r>
    </w:p>
    <w:p>
      <w:pPr>
        <w:spacing w:line="276" w:lineRule="auto"/>
        <w:ind w:firstLine="709"/>
        <w:contextualSpacing/>
      </w:pPr>
      <w:r>
        <w:t xml:space="preserve">В 2024 году сводный индекс цен на</w:t>
      </w:r>
      <w:r>
        <w:rPr>
          <w:iCs/>
        </w:rPr>
        <w:t xml:space="preserve"> </w:t>
      </w:r>
      <w:r>
        <w:t xml:space="preserve">продукцию (затраты, услуги) инвестиционного назначения к предыдущему году составил 107,2%</w:t>
      </w:r>
      <w:r>
        <w:rPr>
          <w:iCs/>
        </w:rPr>
        <w:t xml:space="preserve"> </w:t>
      </w:r>
      <w:r>
        <w:t xml:space="preserve">(</w:t>
      </w:r>
      <w:r>
        <w:rPr>
          <w:rFonts w:eastAsia="Tahoma"/>
        </w:rPr>
        <w:t xml:space="preserve">на строительную продукцию</w:t>
      </w:r>
      <w:r>
        <w:t xml:space="preserve"> – 107,0%, на </w:t>
      </w:r>
      <w:r>
        <w:rPr>
          <w:rFonts w:eastAsia="Tahoma"/>
        </w:rPr>
        <w:t xml:space="preserve">приобретение машин и оборудования инвестиционного назначения</w:t>
      </w:r>
      <w:r>
        <w:t xml:space="preserve"> – 109,2%, на прочую продукцию (затраты, услуги) инвестиционного назначения</w:t>
      </w:r>
      <w:r>
        <w:rPr>
          <w:vertAlign w:val="superscript"/>
        </w:rPr>
        <w:t xml:space="preserve"> </w:t>
      </w:r>
      <w:r>
        <w:t xml:space="preserve">– 106,4%)</w:t>
      </w:r>
      <w:r>
        <w:rPr>
          <w:rStyle w:val="1618"/>
        </w:rPr>
        <w:footnoteReference w:id="11"/>
      </w:r>
      <w:r>
        <w:t xml:space="preserve">.</w:t>
      </w:r>
    </w:p>
    <w:p>
      <w:pPr>
        <w:spacing w:line="276" w:lineRule="auto"/>
        <w:ind w:firstLine="709"/>
        <w:contextualSpacing/>
      </w:pPr>
      <w:r>
        <w:t xml:space="preserve">За 2025 год организациями всех форм собственности и инди</w:t>
      </w:r>
      <w:r>
        <w:t xml:space="preserve">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910,4 тыс. кв. метров общей площади жилых помещений, что составило 93,3% к январю – декабрю 2024 года</w:t>
      </w:r>
      <w:r>
        <w:rPr>
          <w:rStyle w:val="1618"/>
        </w:rPr>
        <w:footnoteReference w:id="12"/>
      </w:r>
      <w:r>
        <w:t xml:space="preserve">.</w:t>
      </w:r>
    </w:p>
    <w:p>
      <w:pPr>
        <w:shd w:val="clear" w:color="ffffff" w:themeColor="background1" w:fill="ffffff" w:themeFill="background1"/>
        <w:spacing w:line="276" w:lineRule="auto"/>
        <w:ind w:firstLine="709"/>
        <w:contextualSpacing/>
      </w:pPr>
      <w:r>
        <w:rPr>
          <w:b/>
          <w:i/>
        </w:rPr>
        <w:t xml:space="preserve">Торговля и услуги населению.</w:t>
      </w:r>
      <w:r>
        <w:rPr>
          <w:b/>
        </w:rPr>
        <w:t xml:space="preserve"> </w:t>
      </w:r>
      <w:r>
        <w:t xml:space="preserve">Оборот розничной торговли в 2024 году составил 644,3 млрд рублей (108,9% к 2023 году). Оборот розничной торговли в расчете на одного жителя Югры сложился в размере 363,9 тыс. рублей против 319,6 тыс. в 2023 году.</w:t>
      </w:r>
    </w:p>
    <w:p>
      <w:pPr>
        <w:spacing w:line="276" w:lineRule="auto"/>
        <w:ind w:firstLine="709"/>
        <w:contextualSpacing/>
      </w:pPr>
      <w:r>
        <w:t xml:space="preserve">За 2024 год населению </w:t>
      </w:r>
      <w:r>
        <w:t xml:space="preserve">региона продано пищевых продуктов, включая напитки, и табачных изделий на сумму 306,8 млрд рублей (на 6,5% больше, чем в 2023 году), непродовольственных товаров – на 337,5 млрд рублей (на 11,1%). Удельный вес пищевых продуктов, включая напитки, и табачных </w:t>
      </w:r>
      <w:r>
        <w:t xml:space="preserve">изделий в обороте розничной торговли составил 47,6%, непродовольственных товаров – 52,4%. </w:t>
      </w:r>
    </w:p>
    <w:p>
      <w:pPr>
        <w:spacing w:line="276" w:lineRule="auto"/>
        <w:ind w:firstLine="709"/>
        <w:contextualSpacing/>
      </w:pPr>
      <w:r>
        <w:t xml:space="preserve">Оборот общес</w:t>
      </w:r>
      <w:r>
        <w:t xml:space="preserve">твенного питания за 12 месяцев 2024 года оценивался в 49,6 млрд рублей, увеличившись по сравнению с предыдущим годом на 8,7%. В расчете на душу населения сумма оборота ресторанов, баров, кафе, столовых составила 28,0 тыс. рублей (в 2023 году – 25,1 тыс.). </w:t>
      </w:r>
    </w:p>
    <w:p>
      <w:pPr>
        <w:spacing w:line="276" w:lineRule="auto"/>
        <w:ind w:firstLine="709"/>
        <w:contextualSpacing/>
      </w:pPr>
      <w:r>
        <w:t xml:space="preserve">Рыночных услуг населению автономного округа в 2024 </w:t>
      </w:r>
      <w:r>
        <w:t xml:space="preserve">году  оказано</w:t>
      </w:r>
      <w:r>
        <w:t xml:space="preserve"> на 199,2 млрд рублей, что выше уровня 2023 года на 9,7%. Наиболее востребованными были транспортные услуги (19,5% от общего объема услуг</w:t>
      </w:r>
      <w:r>
        <w:t xml:space="preserve">), коммунальные (18,3%), телекоммуникационные (17,0%), бытовые (10,2%), жилищные (10,0%), медицинские (6,7%), системы образования (5,8%). В расчете на каждого жителя округа предоставлено услуг в среднем на сумму 112,5 тыс. рублей (в 2023 году – 95,7 тыс.).</w:t>
      </w:r>
    </w:p>
    <w:p>
      <w:pPr>
        <w:spacing w:line="276" w:lineRule="auto"/>
        <w:ind w:firstLine="709"/>
        <w:contextualSpacing/>
      </w:pPr>
      <w:r>
        <w:t xml:space="preserve">Индекс потребительских цен в декабре 2024 года к декабрю предыдущего года составил 107,9% (на продовольственные товары – 109,7%, непродовольственные – 105,4%, услуги – 109,0%)</w:t>
      </w:r>
      <w:r>
        <w:rPr>
          <w:rStyle w:val="1618"/>
        </w:rPr>
        <w:footnoteReference w:id="13"/>
      </w:r>
      <w:r>
        <w:t xml:space="preserve">. </w:t>
      </w:r>
    </w:p>
    <w:p>
      <w:pPr>
        <w:shd w:val="clear" w:color="ffffff" w:themeColor="background1" w:fill="ffffff" w:themeFill="background1"/>
        <w:spacing w:line="276" w:lineRule="auto"/>
        <w:ind w:firstLine="709"/>
        <w:contextualSpacing/>
      </w:pPr>
      <w:r>
        <w:t xml:space="preserve">В отчетном периоде – за 12 месяцев 2025 года – оборот розничной торговли в автономном округе составил 667,5 млрд рублей и уменьшился на 2,7% (в сопоставимых ценах) в сравнении с соответствующим периодом 2024 года.</w:t>
      </w:r>
    </w:p>
    <w:p>
      <w:pPr>
        <w:shd w:val="clear" w:color="ffffff" w:themeColor="background1" w:fill="ffffff" w:themeFill="background1"/>
        <w:spacing w:line="276" w:lineRule="auto"/>
        <w:ind w:firstLine="709"/>
        <w:contextualSpacing/>
      </w:pPr>
      <w:r>
        <w:t xml:space="preserve">За период с января по декабрь 2025 года населению Югры оказано платных услуг во всех секторах реализации, по оценке, на 234,6 млрд рублей, что составило 105,3% к соответствующему периоду предыдущего года.</w:t>
      </w:r>
    </w:p>
    <w:p>
      <w:pPr>
        <w:shd w:val="clear" w:color="ffffff" w:themeColor="background1" w:fill="ffffff" w:themeFill="background1"/>
        <w:spacing w:line="276" w:lineRule="auto"/>
        <w:ind w:firstLine="709"/>
        <w:contextualSpacing/>
        <w:rPr>
          <w:highlight w:val="yellow"/>
        </w:rPr>
      </w:pPr>
      <w:r>
        <w:t xml:space="preserve">В декабре 2025 года индекс потребительских цен составил 100,6% относительно предыдущего месяца, в том числе на продовольственные товары – 101,0%, непродовольственные товары – 100,8%, услуги – 99,7%</w:t>
      </w:r>
      <w:r>
        <w:rPr>
          <w:rStyle w:val="1618"/>
        </w:rPr>
        <w:footnoteReference w:id="14"/>
      </w:r>
      <w:r>
        <w:t xml:space="preserve">.</w:t>
      </w:r>
      <w:r>
        <w:rPr>
          <w:highlight w:val="yellow"/>
        </w:rPr>
      </w:r>
    </w:p>
    <w:p>
      <w:pPr>
        <w:shd w:val="clear" w:color="ffffff" w:themeColor="background1" w:fill="ffffff" w:themeFill="background1"/>
        <w:spacing w:line="276" w:lineRule="auto"/>
        <w:ind w:firstLine="709"/>
      </w:pPr>
      <w:r>
        <w:rPr>
          <w:b/>
          <w:i/>
        </w:rPr>
        <w:t xml:space="preserve">Автомобильный транспорт.</w:t>
      </w:r>
      <w: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w:t>
      </w:r>
      <w:r>
        <w:t xml:space="preserve">еской основе) составил в 2024 году 3,4 млрд тонно-километров (81,8% к уровню 2023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равнялся 1405,4 млн </w:t>
      </w:r>
      <w:r>
        <w:t xml:space="preserve">пассажиро</w:t>
      </w:r>
      <w:r>
        <w:t xml:space="preserve">-километров (больше на 10,2%). </w:t>
      </w:r>
    </w:p>
    <w:p>
      <w:pPr>
        <w:spacing w:line="276" w:lineRule="auto"/>
        <w:ind w:firstLine="709"/>
        <w:contextualSpacing/>
      </w:pPr>
      <w:r>
        <w:t xml:space="preserve">Индекс тарифов на грузовые перевозки автомобильным транспортом в 2024 году к предыдущему году составил 120,5%, на пассажирские перевозки – 107,8%</w:t>
      </w:r>
      <w:r>
        <w:rPr>
          <w:rStyle w:val="1618"/>
        </w:rPr>
        <w:footnoteReference w:id="15"/>
      </w:r>
      <w:r>
        <w:t xml:space="preserve">.</w:t>
      </w:r>
    </w:p>
    <w:p>
      <w:pPr>
        <w:spacing w:line="276" w:lineRule="auto"/>
        <w:ind w:firstLine="709"/>
        <w:contextualSpacing/>
      </w:pPr>
      <w:r>
        <w:t xml:space="preserve">В январе – декабре 2025 года грузооборот автомобильного транспорта организаций (без субъектов малого предпринимательства) составил 2 424,5 млн тонно-километров или 110,3% к соответствующему периоду предыдущего года</w:t>
      </w:r>
      <w:r>
        <w:rPr>
          <w:rStyle w:val="1618"/>
        </w:rPr>
        <w:footnoteReference w:id="16"/>
      </w:r>
      <w:r>
        <w:t xml:space="preserve">.</w:t>
      </w:r>
    </w:p>
    <w:p>
      <w:pPr>
        <w:shd w:val="clear" w:color="ffffff" w:themeColor="background1" w:fill="ffffff" w:themeFill="background1"/>
        <w:spacing w:line="276" w:lineRule="auto"/>
        <w:ind w:firstLine="709"/>
        <w:rPr>
          <w:strike/>
          <w:color w:val="000000"/>
        </w:rPr>
      </w:pPr>
      <w:r>
        <w:rPr>
          <w:b/>
          <w:i/>
        </w:rPr>
        <w:t xml:space="preserve">Наука и инновации.</w:t>
      </w:r>
      <w:r>
        <w:t xml:space="preserve"> На конец 2024 года научными исследованиями и разработками занималась 21 организация (без субъектов малого предпринимательства) с численностью персонала 1361 человек. </w:t>
      </w:r>
      <w:r>
        <w:rPr>
          <w:color w:val="000000"/>
        </w:rPr>
        <w:t xml:space="preserve">По сравнению с предыдущим годом число организаций снизилось на 4,5%, численность персонала увеличилась на 9,1%. </w:t>
      </w:r>
      <w:r>
        <w:rPr>
          <w:strike/>
          <w:color w:val="000000"/>
        </w:rPr>
      </w:r>
    </w:p>
    <w:p>
      <w:pPr>
        <w:spacing w:line="276" w:lineRule="auto"/>
        <w:ind w:firstLine="709"/>
        <w:contextualSpacing/>
      </w:pPr>
      <w:r>
        <w:t xml:space="preserve">Общие затраты на исследования и разработки за год составили 3,9 млрд рублей, что в фактически действовавших ценах на 21,2% ниже уровня предыдущего года.</w:t>
      </w:r>
    </w:p>
    <w:p>
      <w:pPr>
        <w:spacing w:line="276" w:lineRule="auto"/>
        <w:ind w:firstLine="709"/>
        <w:contextualSpacing/>
        <w:rPr>
          <w:strike/>
        </w:rPr>
      </w:pPr>
      <w:r>
        <w:t xml:space="preserve">В 2024 году уровень инновационной активности организаций (без субъектов малого предпринимательства) составил 5,8% от общего числа обследованных организаций.</w:t>
      </w:r>
      <w:r>
        <w:rPr>
          <w:strike/>
        </w:rPr>
      </w:r>
    </w:p>
    <w:p>
      <w:pPr>
        <w:spacing w:line="276" w:lineRule="auto"/>
        <w:ind w:firstLine="709"/>
        <w:rPr>
          <w:bCs/>
          <w:iCs/>
          <w:color w:val="000000"/>
        </w:rPr>
      </w:pPr>
      <w:r>
        <w:t xml:space="preserve">За год на инновационную деятельность организациями израсходовано 51,5 млрд рублей, что в фактически действовавших ценах на 61,3% ниже уровня 2023 года. </w:t>
      </w:r>
      <w:r>
        <w:rPr>
          <w:bCs/>
          <w:iCs/>
          <w:color w:val="000000"/>
        </w:rPr>
      </w:r>
    </w:p>
    <w:p>
      <w:pPr>
        <w:spacing w:line="276" w:lineRule="auto"/>
        <w:ind w:firstLine="709"/>
      </w:pPr>
      <w:r>
        <w:t xml:space="preserve">Объем отгруженных инновационных товаров, выполненных работ, оказанных услуг </w:t>
      </w:r>
      <w:r>
        <w:t xml:space="preserve">инновационно</w:t>
      </w:r>
      <w:r>
        <w:t xml:space="preserve">-активными организациями вырос на 19,8% и составил 81,1 млрд рублей</w:t>
      </w:r>
      <w:r>
        <w:rPr>
          <w:rStyle w:val="1618"/>
        </w:rPr>
        <w:footnoteReference w:id="17"/>
      </w:r>
      <w:r>
        <w:t xml:space="preserve">.</w:t>
      </w:r>
    </w:p>
    <w:p>
      <w:pPr>
        <w:shd w:val="clear" w:color="ffffff" w:themeColor="background1" w:fill="ffffff" w:themeFill="background1"/>
        <w:spacing w:line="276" w:lineRule="auto"/>
        <w:ind w:firstLine="709"/>
        <w:contextualSpacing/>
      </w:pPr>
      <w:r>
        <w:rPr>
          <w:b/>
          <w:i/>
        </w:rPr>
        <w:t xml:space="preserve">Туризм и отдых</w:t>
      </w:r>
      <w:r>
        <w:rPr>
          <w:b/>
        </w:rPr>
        <w:t xml:space="preserve">.</w:t>
      </w:r>
      <w:r>
        <w:t xml:space="preserve"> В теч</w:t>
      </w:r>
      <w:r>
        <w:t xml:space="preserve">ение 2024 года для лечения и отдыха жителей автономного округа действовали 28 санаторно-курортных организаций и организаций отдыха (на конец 2023 года – 32), из них 2 санатория. Число обслуженных лиц в них составило 88,9 тыс. человек (в 2023 году – 104,9).</w:t>
      </w:r>
    </w:p>
    <w:p>
      <w:pPr>
        <w:spacing w:line="276" w:lineRule="auto"/>
        <w:ind w:firstLine="709"/>
        <w:contextualSpacing/>
      </w:pPr>
      <w:r>
        <w:t xml:space="preserve">Гостиничные услуги оказывали 209 гостиниц и аналогичных средств размещения общей вместимостью 12,4 тыс. мест. За год ими предоставлено 1527,7 тыс. ночевок (в 2023 году – 1324,0 тыс.).</w:t>
      </w:r>
    </w:p>
    <w:p>
      <w:pPr>
        <w:spacing w:line="276" w:lineRule="auto"/>
        <w:ind w:firstLine="709"/>
        <w:contextualSpacing/>
      </w:pPr>
      <w:r>
        <w:t xml:space="preserve">Туристскими фирмами округа в 2024 году реализовано 39,9 тыс. турпак</w:t>
      </w:r>
      <w:r>
        <w:t xml:space="preserve">етов (в 2023 году – 34,5 тыс.), обслужено 81,9 тыс. человек (66,7 тыс.). Доля реализованных турпакетов по территории России составила 36,7%, по другим странам – 63,3%. Стоимость реализованных турпакетов за год увеличилась с 5309,8 млн рублей до 6666,6 млн.</w:t>
      </w:r>
    </w:p>
    <w:p>
      <w:pPr>
        <w:spacing w:line="276" w:lineRule="auto"/>
        <w:ind w:firstLine="709"/>
        <w:contextualSpacing/>
      </w:pPr>
      <w:r>
        <w:t xml:space="preserve">В 2024 году численность отдохнувших детей за лето в организациях, предоставляющих услуги по организации отдыха и оздоровления детей, составила 48,8 тыс. человек (в 2023 году – 49,0 тыс.)</w:t>
      </w:r>
      <w:r>
        <w:rPr>
          <w:rStyle w:val="1618"/>
        </w:rPr>
        <w:footnoteReference w:id="18"/>
      </w:r>
      <w:r>
        <w:t xml:space="preserve">.</w:t>
      </w:r>
    </w:p>
    <w:p>
      <w:pPr>
        <w:shd w:val="clear" w:color="ffffff" w:themeColor="background1" w:fill="ffffff" w:themeFill="background1"/>
        <w:spacing w:line="276" w:lineRule="auto"/>
        <w:ind w:firstLine="709"/>
        <w:contextualSpacing/>
      </w:pPr>
      <w:r>
        <w:rPr>
          <w:b/>
          <w:i/>
        </w:rPr>
        <w:t xml:space="preserve">Уровень жизни населения. </w:t>
      </w:r>
      <w:r>
        <w:t xml:space="preserve">В 2024 году денежные доходы в расчете на душу населения составили 83,0 тыс. рублей в месяц (в 2023 году – 72,6 тыс. рублей). </w:t>
      </w:r>
    </w:p>
    <w:p>
      <w:pPr>
        <w:pStyle w:val="1622"/>
        <w:spacing w:after="0" w:line="276" w:lineRule="auto"/>
        <w:ind w:firstLine="709"/>
        <w:contextualSpacing/>
        <w:jc w:val="both"/>
        <w:rPr>
          <w:sz w:val="28"/>
          <w:szCs w:val="28"/>
        </w:rPr>
      </w:pPr>
      <w:r>
        <w:rPr>
          <w:sz w:val="28"/>
          <w:szCs w:val="28"/>
        </w:rPr>
        <w:t xml:space="preserve">Среднемесячная</w:t>
      </w:r>
      <w:r>
        <w:rPr>
          <w:spacing w:val="-20"/>
          <w:sz w:val="28"/>
          <w:szCs w:val="28"/>
        </w:rPr>
        <w:t xml:space="preserve"> </w:t>
      </w:r>
      <w:r>
        <w:rPr>
          <w:sz w:val="28"/>
          <w:szCs w:val="28"/>
        </w:rPr>
        <w:t xml:space="preserve">номинальная начисленная заработная плата одного работника равнялась 124,7 тыс. рублей. Р</w:t>
      </w:r>
      <w:r>
        <w:rPr>
          <w:sz w:val="28"/>
          <w:szCs w:val="28"/>
        </w:rPr>
        <w:t xml:space="preserve">азмер реальной заработной платы к уровню предыдущего года вырос на 7,7%. На начало 2025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r>
        <w:rPr>
          <w:rStyle w:val="1618"/>
          <w:sz w:val="28"/>
          <w:szCs w:val="28"/>
        </w:rPr>
        <w:footnoteReference w:id="19"/>
      </w:r>
      <w:r>
        <w:rPr>
          <w:sz w:val="28"/>
          <w:szCs w:val="28"/>
        </w:rPr>
        <w:t xml:space="preserve">.</w:t>
      </w:r>
      <w:r>
        <w:rPr>
          <w:sz w:val="28"/>
          <w:szCs w:val="28"/>
        </w:rPr>
      </w:r>
    </w:p>
    <w:p>
      <w:pPr>
        <w:spacing w:line="276" w:lineRule="auto"/>
        <w:ind w:firstLine="709"/>
      </w:pPr>
      <w:r>
        <w:t xml:space="preserve">Среднемесячная номинальная начисленная заработная плата одного работника организаций в январе – ноябре 2025 года составила 130 133 рубля или 101,4% в реальном исчислении к январю ؘ– ноябрю 2024 года</w:t>
      </w:r>
      <w:r>
        <w:rPr>
          <w:rStyle w:val="1618"/>
        </w:rPr>
        <w:footnoteReference w:id="20"/>
      </w:r>
      <w:r>
        <w:t xml:space="preserve">.</w:t>
      </w:r>
    </w:p>
    <w:p>
      <w:pPr>
        <w:spacing w:line="276" w:lineRule="auto"/>
        <w:ind w:firstLine="709"/>
        <w:contextualSpacing/>
      </w:pPr>
      <w:r>
        <w:t xml:space="preserve">По данным Фонда пенсионного и социального страхования Российской Федерации средний размер назначенных пенсий в округе на конец 2024 года составил 33,9 тыс. рублей. Реальный размер пенсий к уровню 2023 года повысился на 3,1%.</w:t>
      </w:r>
    </w:p>
    <w:p>
      <w:pPr>
        <w:pStyle w:val="1622"/>
        <w:spacing w:after="0" w:line="276" w:lineRule="auto"/>
        <w:ind w:firstLine="709"/>
        <w:contextualSpacing/>
        <w:jc w:val="both"/>
        <w:rPr>
          <w:sz w:val="28"/>
          <w:szCs w:val="28"/>
        </w:rPr>
      </w:pPr>
      <w:r>
        <w:rPr>
          <w:sz w:val="28"/>
          <w:szCs w:val="28"/>
        </w:rPr>
        <w:t xml:space="preserve">По данным Банка России общий объем средств (вкладов) в кредитных организациях (с учетом данных ПАО «Сбербанк Р</w:t>
      </w:r>
      <w:r>
        <w:rPr>
          <w:sz w:val="28"/>
          <w:szCs w:val="28"/>
        </w:rPr>
        <w:t xml:space="preserve">оссии») увеличился на 14,8% и в 2024 году составил 460,1 тыс. рублей на одного жителя. В ПАО «Сбербанк России» общий объем средств (вкладов) населения по сравнению с предыдущим годом вырос на 19,9% и равнялся 303,1 тыс. рублей в расчете на душу населения. </w:t>
      </w:r>
      <w:r>
        <w:rPr>
          <w:sz w:val="28"/>
          <w:szCs w:val="28"/>
        </w:rPr>
      </w:r>
    </w:p>
    <w:p>
      <w:pPr>
        <w:pStyle w:val="1622"/>
        <w:spacing w:after="0" w:line="276" w:lineRule="auto"/>
        <w:ind w:firstLine="709"/>
        <w:contextualSpacing/>
        <w:jc w:val="both"/>
        <w:rPr>
          <w:sz w:val="28"/>
          <w:szCs w:val="28"/>
        </w:rPr>
      </w:pPr>
      <w:r>
        <w:rPr>
          <w:sz w:val="28"/>
          <w:szCs w:val="28"/>
        </w:rPr>
        <w:t xml:space="preserve">Общий жилищный фонд в округе на конец года насчитывал 38,8 млн кв. метров общей площади жилых помещений, что на 1,8% больше, чем в </w:t>
      </w:r>
      <w:r>
        <w:rPr>
          <w:sz w:val="28"/>
          <w:szCs w:val="28"/>
        </w:rPr>
        <w:t xml:space="preserve">предыдущем году. В среднем на одного жителя приходилось 21,8 кв. метра жилья, что превышало значение предыдущего года. </w:t>
      </w:r>
      <w:r>
        <w:rPr>
          <w:sz w:val="28"/>
          <w:szCs w:val="28"/>
        </w:rPr>
      </w:r>
    </w:p>
    <w:p>
      <w:pPr>
        <w:pStyle w:val="1622"/>
        <w:spacing w:after="0" w:line="276" w:lineRule="auto"/>
        <w:ind w:firstLine="709"/>
        <w:contextualSpacing/>
        <w:jc w:val="both"/>
        <w:rPr>
          <w:color w:val="000000"/>
          <w:sz w:val="28"/>
          <w:szCs w:val="28"/>
        </w:rPr>
      </w:pPr>
      <w:r>
        <w:rPr>
          <w:color w:val="000000"/>
          <w:sz w:val="28"/>
          <w:szCs w:val="28"/>
        </w:rPr>
        <w:t xml:space="preserve">Средняя стоимость 1 кв. метра проданных квартир на конец 2024 года на первичном рынке жилья составила 126,8 тыс. рублей, на вторичном – 102,7 тыс. рублей.</w:t>
      </w:r>
      <w:r>
        <w:rPr>
          <w:color w:val="000000"/>
          <w:sz w:val="28"/>
          <w:szCs w:val="28"/>
        </w:rPr>
      </w:r>
    </w:p>
    <w:p>
      <w:pPr>
        <w:spacing w:line="276" w:lineRule="auto"/>
        <w:ind w:firstLine="709"/>
        <w:contextualSpacing/>
      </w:pPr>
      <w:r>
        <w:t xml:space="preserve">Обеспеченность жителей округа в 2024 году личными легковыми автомобилями (по данным МВД России) в расчете на 1000 населения составила 401 штуку (в 2023 году – 387)</w:t>
      </w:r>
      <w:r>
        <w:rPr>
          <w:rStyle w:val="1618"/>
        </w:rPr>
        <w:footnoteReference w:id="21"/>
      </w:r>
      <w:r>
        <w:t xml:space="preserve">.</w:t>
      </w:r>
    </w:p>
    <w:p>
      <w:pPr>
        <w:pStyle w:val="1622"/>
        <w:shd w:val="clear" w:color="ffffff" w:themeColor="background1" w:fill="ffffff" w:themeFill="background1"/>
        <w:spacing w:after="0" w:line="276" w:lineRule="auto"/>
        <w:ind w:firstLine="709"/>
        <w:jc w:val="both"/>
        <w:rPr>
          <w:b/>
          <w:i/>
          <w:sz w:val="28"/>
          <w:szCs w:val="28"/>
        </w:rPr>
      </w:pPr>
      <w:r>
        <w:rPr>
          <w:b/>
          <w:i/>
          <w:sz w:val="28"/>
          <w:szCs w:val="28"/>
        </w:rPr>
        <w:t xml:space="preserve">Социальная сфера. </w:t>
      </w:r>
      <w:r>
        <w:rPr>
          <w:b/>
          <w:i/>
          <w:sz w:val="28"/>
          <w:szCs w:val="28"/>
        </w:rPr>
      </w:r>
    </w:p>
    <w:p>
      <w:pPr>
        <w:shd w:val="clear" w:color="ffffff" w:themeColor="background1" w:fill="ffffff" w:themeFill="background1"/>
        <w:spacing w:line="276" w:lineRule="auto"/>
        <w:ind w:firstLine="709"/>
        <w:contextualSpacing/>
      </w:pPr>
      <w:r>
        <w:rPr>
          <w:i/>
        </w:rPr>
        <w:t xml:space="preserve">Здравоохранение.</w:t>
      </w:r>
      <w:r>
        <w:rPr>
          <w:b/>
        </w:rPr>
        <w:t xml:space="preserve"> </w:t>
      </w:r>
      <w:r>
        <w:t xml:space="preserve">На конец 2024 года медицинскую помощь населению </w:t>
      </w:r>
      <w:r>
        <w:t xml:space="preserve">оказывали в 236 амбулаторно-поликлинических и 54 больничных организациях, 202 женских консультациях, детских поликлиниках, отделениях (кабинетах), 65 фельдшерско-акушерских пунктах. Кроме того, действовало 39 станций (отделений) скорой медицинской помощи. </w:t>
      </w:r>
    </w:p>
    <w:p>
      <w:pPr>
        <w:spacing w:line="276" w:lineRule="auto"/>
        <w:ind w:firstLine="709"/>
        <w:contextualSpacing/>
      </w:pPr>
      <w:r>
        <w:t xml:space="preserve">Зарегистрировано 12,7 тыс. больничных коек. Показатель обеспеченности населения больничными койками в расчете на 10000 жителей за год изменился с 71,3 до 71,1.  </w:t>
      </w:r>
    </w:p>
    <w:p>
      <w:pPr>
        <w:spacing w:line="276" w:lineRule="auto"/>
        <w:ind w:firstLine="709"/>
        <w:contextualSpacing/>
      </w:pPr>
      <w:r>
        <w:t xml:space="preserve">Мощность амбулаторно-поликлинических организаций составила 47,1 тыс. посещений в смену. Обеспеченность на 10000 населения такими учреждениями в 2024 году равнялась 264,3 посещения (в 2023 году – 265,0). </w:t>
      </w:r>
    </w:p>
    <w:p>
      <w:pPr>
        <w:spacing w:line="276" w:lineRule="auto"/>
        <w:ind w:firstLine="709"/>
        <w:contextualSpacing/>
      </w:pPr>
      <w:r>
        <w:t xml:space="preserve">Численность врачей и среднего медицинского персонала соста</w:t>
      </w:r>
      <w:r>
        <w:t xml:space="preserve">вила соответственно 10,1 тыс. и 24,0 тыс. человек. В расчете на 10000 населения показатель обеспеченности жителей региона врачами в сравнении с 2023 годом изменился с 58,2 до 56,8, средним медицинским персоналом – с 137,4 в 2023 году до 134,7 в 2024 году. </w:t>
      </w:r>
    </w:p>
    <w:p>
      <w:pPr>
        <w:spacing w:line="276" w:lineRule="auto"/>
        <w:ind w:firstLine="709"/>
        <w:contextualSpacing/>
      </w:pPr>
      <w:r>
        <w:t xml:space="preserve">За год зарегистрировано 1488,4 тыс. заболеваний у пациентов с диагнозом, установленным впервые в жизни. В расчете на 1000 населения величина этого показателя соответствовала 840,6 (в 2023 году – 878,9)</w:t>
      </w:r>
      <w:r>
        <w:rPr>
          <w:rStyle w:val="1618"/>
        </w:rPr>
        <w:footnoteReference w:id="22"/>
      </w:r>
      <w:r>
        <w:t xml:space="preserve">. </w:t>
      </w:r>
    </w:p>
    <w:p>
      <w:pPr>
        <w:shd w:val="clear" w:color="ffffff" w:themeColor="background1" w:fill="ffffff" w:themeFill="background1"/>
        <w:spacing w:line="276" w:lineRule="auto"/>
        <w:ind w:firstLine="709"/>
      </w:pPr>
      <w:r>
        <w:rPr>
          <w:rFonts w:eastAsiaTheme="minorHAnsi"/>
          <w:lang w:eastAsia="en-US"/>
        </w:rPr>
        <w:t xml:space="preserve">Ф</w:t>
      </w:r>
      <w:r>
        <w:rPr>
          <w:rFonts w:eastAsiaTheme="minorHAnsi"/>
          <w:i/>
          <w:lang w:eastAsia="en-US"/>
        </w:rPr>
        <w:t xml:space="preserve">изкультурно-оздоровительная деятельность.</w:t>
      </w:r>
      <w:r>
        <w:rPr>
          <w:rFonts w:eastAsiaTheme="minorHAnsi"/>
          <w:lang w:eastAsia="en-US"/>
        </w:rPr>
        <w:t xml:space="preserve"> </w:t>
      </w:r>
      <w:r>
        <w:t xml:space="preserve">На 1 января 2025 года в регионе насчитывалось</w:t>
      </w:r>
      <w:r>
        <w:t xml:space="preserve"> 4422 объекта спортивной инфраструктуры – на 180 больше, чем в предыдущем году. В их числе: 1453 плоскостных сооружения, 1016 спортивных залов (в 2023 году – 1002), 527 объектов городской и рекреационной инфраструктуры, 151 бассейн (в 2023 году – 149), 78 </w:t>
      </w:r>
      <w:r>
        <w:t xml:space="preserve">стрелковых объектов, 61 лыжная база, 22 ледовых объекта, 5 манежей, 4 биатлонных комплекса и 4 стадиона вмест</w:t>
      </w:r>
      <w:r>
        <w:t xml:space="preserve">имостью свыше 1500 мест. В 2024 году было введено в эксплуатацию 5 новых спортивных объектов; в 2025 году осуществлено строительство еще 10 объектов, завершение возведения 8 спорткомплексов и дополнительное оборудование 4 объектов в Арктической зоне Югры. </w:t>
      </w:r>
    </w:p>
    <w:p>
      <w:pPr>
        <w:shd w:val="clear" w:color="ffffff" w:themeColor="background1" w:fill="ffffff" w:themeFill="background1"/>
        <w:spacing w:line="276" w:lineRule="auto"/>
        <w:ind w:firstLine="709"/>
      </w:pPr>
      <w:r>
        <w:t xml:space="preserve">В 2024 г</w:t>
      </w:r>
      <w:r>
        <w:t xml:space="preserve">оду доля населения автономного округа, вовлеченного в занятия физической культурой и спортом, достигла 61,4%; доля лиц с ограниченными возможностями здоровья – 26,2%. К 2024 году уровень обеспеченности граждан спортивной инфраструктурой в Югре составил 54%</w:t>
      </w:r>
      <w:r>
        <w:rPr>
          <w:rStyle w:val="1618"/>
        </w:rPr>
        <w:footnoteReference w:id="23"/>
      </w:r>
      <w:r>
        <w:t xml:space="preserve">. </w:t>
      </w:r>
    </w:p>
    <w:p>
      <w:pPr>
        <w:shd w:val="clear" w:color="ffffff" w:themeColor="background1" w:fill="ffffff" w:themeFill="background1"/>
        <w:spacing w:line="276" w:lineRule="auto"/>
        <w:ind w:firstLine="709"/>
        <w:rPr>
          <w:highlight w:val="yellow"/>
        </w:rPr>
      </w:pPr>
      <w:r>
        <w:rPr>
          <w:i/>
        </w:rPr>
        <w:t xml:space="preserve">Сеть учреждений социального обслуживания</w:t>
      </w:r>
      <w:r>
        <w:t xml:space="preserve"> </w:t>
      </w:r>
      <w:r>
        <w:t xml:space="preserve">автономного округа в 2024 году включала 41 организацию, в том числе 29 организаций социального обслуживания для граждан пожилого возраста и инвалидов, 12 организаций социального обслуживания семьи и детей. В 2024 году были востребованы и успешно применены </w:t>
      </w:r>
      <w:r>
        <w:t xml:space="preserve">стационарозамещающие</w:t>
      </w:r>
      <w:r>
        <w:t xml:space="preserve"> технологии по оказанию социальны</w:t>
      </w:r>
      <w:r>
        <w:t xml:space="preserve">х услуг, которыми были охвачены более 6 100 человек. С сентября 2023 года ХМАО-Югра реализует систему долговременного ухода за гражданами пожилого возраста и инвалидами, нуждающимися в уходе, в рамках которой в течение 2024 года помощь получили 217 человек</w:t>
      </w:r>
      <w:r>
        <w:rPr>
          <w:rStyle w:val="1618"/>
        </w:rPr>
        <w:footnoteReference w:id="24"/>
      </w:r>
      <w:r>
        <w:t xml:space="preserve">.</w:t>
      </w:r>
      <w:r>
        <w:rPr>
          <w:highlight w:val="yellow"/>
        </w:rPr>
      </w:r>
    </w:p>
    <w:p>
      <w:pPr>
        <w:shd w:val="clear" w:color="ffffff" w:themeColor="background1" w:fill="ffffff" w:themeFill="background1"/>
        <w:spacing w:line="276" w:lineRule="auto"/>
        <w:ind w:firstLine="709"/>
        <w:rPr>
          <w:rFonts w:eastAsiaTheme="minorHAnsi"/>
          <w:lang w:eastAsia="en-US"/>
        </w:rPr>
      </w:pPr>
      <w:r>
        <w:rPr>
          <w:rFonts w:eastAsiaTheme="minorHAnsi"/>
          <w:i/>
          <w:lang w:eastAsia="en-US"/>
        </w:rPr>
        <w:t xml:space="preserve">Сеть образовательных организаций</w:t>
      </w:r>
      <w:r>
        <w:rPr>
          <w:rFonts w:eastAsiaTheme="minorHAnsi"/>
          <w:lang w:eastAsia="en-US"/>
        </w:rPr>
        <w:t xml:space="preserve"> представлена в Югре 750 организациями (347 организаций дошкольной образовательной сети, включая общеобразовательные организации с дошкольными группами и филиалы, </w:t>
      </w:r>
      <w:r>
        <w:rPr>
          <w:rFonts w:eastAsia="Calibri"/>
        </w:rPr>
        <w:t xml:space="preserve">321</w:t>
      </w:r>
      <w:r>
        <w:rPr>
          <w:rFonts w:eastAsiaTheme="minorHAnsi"/>
          <w:lang w:eastAsia="en-US"/>
        </w:rPr>
        <w:t xml:space="preserve"> общеобразовательных организации, 26 организаций среднего профессионального образования) с общим количеством обучающихся (воспитанников) </w:t>
      </w:r>
      <w:r>
        <w:rPr>
          <w:rFonts w:eastAsia="Calibri"/>
        </w:rPr>
        <w:t xml:space="preserve">398,6 </w:t>
      </w:r>
      <w:r>
        <w:rPr>
          <w:rFonts w:eastAsiaTheme="minorHAnsi"/>
          <w:lang w:eastAsia="en-US"/>
        </w:rPr>
        <w:t xml:space="preserve">тыс. человек. Численность работников списочного состава образовательных организаций составила </w:t>
      </w:r>
      <w:r>
        <w:rPr>
          <w:rFonts w:eastAsia="Calibri"/>
        </w:rPr>
        <w:t xml:space="preserve">57,7 </w:t>
      </w:r>
      <w:r>
        <w:rPr>
          <w:rFonts w:eastAsiaTheme="minorHAnsi"/>
          <w:lang w:eastAsia="en-US"/>
        </w:rPr>
        <w:t xml:space="preserve">тыс. человек, из них 29,8 тыс. педагогических и научных работников</w:t>
      </w:r>
      <w:r>
        <w:rPr>
          <w:rStyle w:val="1618"/>
          <w:rFonts w:eastAsiaTheme="minorHAnsi"/>
          <w:lang w:eastAsia="en-US"/>
        </w:rPr>
        <w:footnoteReference w:id="25"/>
      </w:r>
      <w:r>
        <w:rPr>
          <w:rFonts w:eastAsiaTheme="minorHAnsi"/>
          <w:lang w:eastAsia="en-US"/>
        </w:rPr>
        <w:t xml:space="preserve">. </w:t>
      </w:r>
      <w:r>
        <w:rPr>
          <w:rFonts w:eastAsiaTheme="minorHAnsi"/>
          <w:lang w:eastAsia="en-US"/>
        </w:rPr>
      </w:r>
    </w:p>
    <w:p>
      <w:pPr>
        <w:shd w:val="clear" w:color="ffffff" w:themeColor="background1" w:fill="ffffff" w:themeFill="background1"/>
        <w:spacing w:line="276" w:lineRule="auto"/>
        <w:ind w:firstLine="709"/>
        <w:rPr>
          <w:rFonts w:eastAsiaTheme="minorHAnsi"/>
          <w:highlight w:val="green"/>
          <w:lang w:eastAsia="en-US"/>
        </w:rPr>
      </w:pPr>
      <w:r>
        <w:rPr>
          <w:rFonts w:eastAsiaTheme="minorHAnsi"/>
          <w:i/>
          <w:lang w:eastAsia="en-US"/>
        </w:rPr>
        <w:t xml:space="preserve">Сеть учреждений культуры автономного округа</w:t>
      </w:r>
      <w:r>
        <w:rPr>
          <w:rFonts w:eastAsiaTheme="minorHAnsi"/>
          <w:lang w:eastAsia="en-US"/>
        </w:rPr>
        <w:t xml:space="preserve"> на 1 января 2025 года включала 529 учреждений, в том числе: 218 общедоступных (публичных) библиотек, 202 организации культурно-досугового типа, 43 сетевые единицы </w:t>
      </w:r>
      <w:r>
        <w:rPr>
          <w:rFonts w:eastAsiaTheme="minorHAnsi"/>
          <w:lang w:eastAsia="en-US"/>
        </w:rPr>
        <w:t xml:space="preserve">музеев, 10 театров, 2 концертные</w:t>
      </w:r>
      <w:r>
        <w:rPr>
          <w:rFonts w:eastAsiaTheme="minorHAnsi"/>
          <w:lang w:eastAsia="en-US"/>
        </w:rPr>
        <w:t xml:space="preserve"> организации, 2 парка культуры, 48 учреждений дополнительного образования детей, 3 учреждения среднего профессионального образования, 1 учреждение кинематографии. Наблюдается положительная динамика посещения культурных мероприятий: целевой показатель по ко</w:t>
      </w:r>
      <w:r>
        <w:rPr>
          <w:rFonts w:eastAsiaTheme="minorHAnsi"/>
          <w:lang w:eastAsia="en-US"/>
        </w:rPr>
        <w:t xml:space="preserve">личеству посещений культурных мероприятий в 2024 году выполнен на 111%, составив более 22,3 млн посещений, что на 2 млн посещений больше, чем в 2023 и 2022 годы. Обеспеченность населения учреждениями культурно-досугового типа в 2024 году составила 1,1 орга</w:t>
      </w:r>
      <w:r>
        <w:rPr>
          <w:rFonts w:eastAsiaTheme="minorHAnsi"/>
          <w:lang w:eastAsia="en-US"/>
        </w:rPr>
        <w:t xml:space="preserve">низации на 10 тыс. населения. Численность работников в учреждениях культурно-досугового типа на 10 тыс. человек населения в 2024 году составляла 16,5 человек, что незначительно отстает от среднероссийского уровня (16,7 человек на 10 тыс. человек населения)</w:t>
      </w:r>
      <w:r>
        <w:rPr>
          <w:rStyle w:val="1618"/>
          <w:rFonts w:eastAsiaTheme="minorHAnsi"/>
          <w:lang w:eastAsia="en-US"/>
        </w:rPr>
        <w:footnoteReference w:id="26"/>
      </w:r>
      <w:r>
        <w:rPr>
          <w:rFonts w:eastAsiaTheme="minorHAnsi"/>
          <w:lang w:eastAsia="en-US"/>
        </w:rPr>
        <w:t xml:space="preserve">.</w:t>
      </w:r>
      <w:r>
        <w:rPr>
          <w:rFonts w:eastAsiaTheme="minorHAnsi"/>
          <w:highlight w:val="green"/>
          <w:lang w:eastAsia="en-US"/>
        </w:rPr>
      </w:r>
    </w:p>
    <w:p>
      <w:pPr>
        <w:shd w:val="clear" w:color="ffffff" w:themeColor="background1" w:fill="ffffff" w:themeFill="background1"/>
        <w:spacing w:line="276" w:lineRule="auto"/>
        <w:ind w:firstLine="709"/>
        <w:contextualSpacing/>
      </w:pPr>
      <w:r>
        <w:rPr>
          <w:b/>
          <w:i/>
        </w:rPr>
        <w:t xml:space="preserve">Занятость и безработица.</w:t>
      </w:r>
      <w:r>
        <w:rPr>
          <w:b/>
        </w:rPr>
        <w:t xml:space="preserve"> </w:t>
      </w:r>
      <w:r>
        <w:t xml:space="preserve">Численность рабочей силы, по данным выборочного обследования Росстата, в среднем за 2024 год составила 939,4 тыс. человек, из которых 98,7% были заняты в экономике, остальные не имел</w:t>
      </w:r>
      <w:r>
        <w:t xml:space="preserve">и занятия, но активно его искали и в соответствии с методологией Международной организации труда классифицировались как безработные. Численность занятых в экономике округа составила 926,9 тыс. человек (в 2023 году – 909,4). Общая численность безработных за</w:t>
      </w:r>
      <w:r>
        <w:t xml:space="preserve"> рассматриваемый период снизилась до 12,6 тыс. человек, составив 1,3% рабочей силы (в 2023 году – 1,8%). Численность безработных, зарегистрированных в органах службы занятости населения, составила на конец 2024 года 2,0 тыс. человек или 0,2% рабочей силы. </w:t>
      </w:r>
    </w:p>
    <w:p>
      <w:pPr>
        <w:shd w:val="clear" w:color="ffffff" w:themeColor="background1" w:fill="ffffff" w:themeFill="background1"/>
        <w:spacing w:line="276" w:lineRule="auto"/>
        <w:ind w:firstLine="709"/>
        <w:contextualSpacing/>
      </w:pPr>
      <w:r>
        <w:t xml:space="preserve">По данным органов службы занятости населения на к</w:t>
      </w:r>
      <w:r>
        <w:t xml:space="preserve">онец 2024 года у работодателей имелось в наличии 16,6 тыс. свободных рабочих мест против 21,9 тыс. на аналогичную дату 2023 года. Коэффициент напряженности на регистрируемом рынке труда за рассматриваемый период изменился с 16 человек на 100 вакансий до 17</w:t>
      </w:r>
      <w:r>
        <w:rPr>
          <w:rStyle w:val="1618"/>
        </w:rPr>
        <w:footnoteReference w:id="27"/>
      </w:r>
      <w:r>
        <w:t xml:space="preserve">.</w:t>
      </w:r>
    </w:p>
    <w:p>
      <w:pPr>
        <w:shd w:val="clear" w:color="ffffff" w:themeColor="background1" w:fill="ffffff" w:themeFill="background1"/>
        <w:spacing w:line="276" w:lineRule="auto"/>
        <w:ind w:firstLine="709"/>
      </w:pPr>
      <w:r>
        <w:rPr>
          <w:b/>
          <w:i/>
        </w:rPr>
        <w:t xml:space="preserve">Миграция населения. </w:t>
      </w:r>
      <w:r>
        <w:t xml:space="preserve">По итогам 2024 года миграционный прирост населения Югры составил 15,0 тыс. человек</w:t>
      </w:r>
      <w:r>
        <w:rPr>
          <w:rStyle w:val="1618"/>
        </w:rPr>
        <w:footnoteReference w:id="28"/>
      </w:r>
      <w:r>
        <w:t xml:space="preserve"> (в 2023 году – 21,0 тыс. человек, </w:t>
      </w:r>
      <w:r>
        <w:t xml:space="preserve">в 2022 году – 8,7 тыс. человек). Основной миграционный поток (97%) приходился на граждан государств-участников СНГ. Более половины всех прибывших иностранных граждан составили граждане Таджикистана (35,7%) и Узбекистана (29,8%).</w:t>
      </w:r>
    </w:p>
    <w:p>
      <w:pPr>
        <w:spacing w:line="276" w:lineRule="auto"/>
        <w:ind w:firstLine="709"/>
      </w:pPr>
      <w:r>
        <w:t xml:space="preserve">Основной целью пребывания иностр</w:t>
      </w:r>
      <w:r>
        <w:t xml:space="preserve">анных граждан по-прежнему является «работа»: 81,1% мигрантов, находящихся на территории автономного округа, осуществляли трудовую деятельность, из них в сфере добычи полезных ископаемых – 23%; в строительстве – 21,4%; в оптовой и розничной торговле – 19,3%</w:t>
      </w:r>
      <w:r>
        <w:rPr>
          <w:rStyle w:val="1618"/>
        </w:rPr>
        <w:footnoteReference w:id="29"/>
      </w:r>
      <w:r>
        <w:t xml:space="preserve">.</w:t>
      </w:r>
    </w:p>
    <w:p>
      <w:pPr>
        <w:spacing w:line="276" w:lineRule="auto"/>
        <w:ind w:firstLine="709"/>
      </w:pPr>
      <w:r>
        <w:t xml:space="preserve">По итогам 12 месяцев 2025 года миграционная ситуация на территории </w:t>
      </w:r>
      <w:r>
        <w:t xml:space="preserve">автономного округа характеризуется незначительным увеличением количества фактов постановки на миграционный учет иностранных граждан (+2,8%), и увеличением снятия с учета (+2,8%). Кроме того, отмечается увеличение числа иностранных граждан, фактически состо</w:t>
      </w:r>
      <w:r>
        <w:t xml:space="preserve">ящих на миграционном учете (+4,9%). 97,6% прибывших в Югру мигрантов – граждане государств-участников СНГ: выходцы из Таджикистана составили 39,9%, Узбекистана – 27,7%, Кыргызстана – 13,8%, Азербайджана – 6,2%, Казахстана – 5,5%, Республики Беларусь – 1,4%</w:t>
      </w:r>
      <w:r>
        <w:rPr>
          <w:rStyle w:val="1618"/>
        </w:rPr>
        <w:footnoteReference w:id="30"/>
      </w:r>
      <w:r>
        <w:t xml:space="preserve">.</w:t>
      </w:r>
    </w:p>
    <w:p>
      <w:pPr>
        <w:shd w:val="clear" w:color="ffffff" w:themeColor="background1" w:fill="ffffff" w:themeFill="background1"/>
        <w:tabs>
          <w:tab w:val="left" w:pos="9540" w:leader="none"/>
        </w:tabs>
        <w:spacing w:line="276" w:lineRule="auto"/>
        <w:ind w:firstLine="709"/>
        <w:rPr>
          <w:highlight w:val="yellow"/>
        </w:rPr>
      </w:pPr>
      <w:r>
        <w:rPr>
          <w:highlight w:val="yellow"/>
        </w:rPr>
      </w:r>
      <w:r>
        <w:rPr>
          <w:highlight w:val="yellow"/>
        </w:rP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276" w:lineRule="auto"/>
        <w:ind w:firstLine="709"/>
        <w:jc w:val="left"/>
        <w:outlineLvl w:val="1"/>
        <w:rPr>
          <w:b/>
          <w:color w:val="ff0000"/>
          <w:highlight w:val="yellow"/>
        </w:rPr>
        <w:sectPr>
          <w:headerReference w:type="default" r:id="rId10"/>
          <w:headerReference w:type="first" r:id="rId11"/>
          <w:footerReference w:type="first" r:id="rId17"/>
          <w:footnotePr/>
          <w:endnotePr/>
          <w:type w:val="nextPage"/>
          <w:pgSz w:w="11906" w:h="16838" w:orient="portrait"/>
          <w:pgMar w:top="1134" w:right="851" w:bottom="1134" w:left="1701" w:header="709" w:footer="709" w:gutter="0"/>
          <w:cols w:num="1" w:sep="0" w:space="708" w:equalWidth="1"/>
          <w:docGrid w:linePitch="360"/>
        </w:sectPr>
      </w:pPr>
      <w:r>
        <w:rPr>
          <w:b/>
          <w:color w:val="ff0000"/>
          <w:highlight w:val="yellow"/>
        </w:rPr>
      </w:r>
      <w:r>
        <w:rPr>
          <w:b/>
          <w:color w:val="ff0000"/>
          <w:highlight w:val="yellow"/>
        </w:rPr>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276" w:lineRule="auto"/>
        <w:ind w:firstLine="709"/>
        <w:outlineLvl w:val="1"/>
        <w:rPr>
          <w:b/>
        </w:rPr>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rPr>
          <w:b/>
        </w:rPr>
      </w:r>
    </w:p>
    <w:p>
      <w:pPr>
        <w:pStyle w:val="1624"/>
        <w:spacing w:after="0" w:line="276" w:lineRule="auto"/>
        <w:ind w:firstLine="709"/>
        <w:jc w:val="both"/>
        <w:rPr>
          <w:b/>
          <w:sz w:val="28"/>
          <w:szCs w:val="28"/>
        </w:rPr>
      </w:pPr>
      <w:r>
        <w:rPr>
          <w:b/>
          <w:sz w:val="28"/>
          <w:szCs w:val="28"/>
        </w:rPr>
      </w:r>
      <w:r>
        <w:rPr>
          <w:b/>
          <w:sz w:val="28"/>
          <w:szCs w:val="28"/>
        </w:rPr>
      </w:r>
    </w:p>
    <w:p>
      <w:pPr>
        <w:spacing w:line="276" w:lineRule="auto"/>
        <w:ind w:firstLine="0"/>
        <w:jc w:val="center"/>
        <w:rPr>
          <w:sz w:val="24"/>
          <w:szCs w:val="24"/>
        </w:rPr>
      </w:pPr>
      <w:r>
        <w:rPr>
          <w:b/>
          <w:bCs/>
          <w:i/>
          <w:iCs/>
          <w:color w:val="000000"/>
        </w:rPr>
        <w:t xml:space="preserve">Анализ динамики общей распространенности наркоманий</w:t>
      </w:r>
      <w:r>
        <w:rPr>
          <w:sz w:val="24"/>
          <w:szCs w:val="24"/>
        </w:rPr>
      </w:r>
    </w:p>
    <w:p>
      <w:pPr>
        <w:spacing w:line="276" w:lineRule="auto"/>
        <w:ind w:firstLine="709"/>
        <w:rPr>
          <w:sz w:val="24"/>
          <w:szCs w:val="24"/>
        </w:rPr>
      </w:pPr>
      <w:r>
        <w:rPr>
          <w:color w:val="000000"/>
        </w:rPr>
        <w:t xml:space="preserve">Меропр</w:t>
      </w:r>
      <w:r>
        <w:rPr>
          <w:color w:val="000000"/>
        </w:rPr>
        <w:t xml:space="preserve">иятия по противодействию незаконному обороту наркотиков и распространению наркомании, проводимые на территории Ханты-Мансийского автономного округа – Югры субъектами антинаркотической деятельности, оказывают положительное влияние на динамику наркоситуации:</w:t>
      </w:r>
      <w:r>
        <w:rPr>
          <w:sz w:val="24"/>
          <w:szCs w:val="24"/>
        </w:rPr>
      </w:r>
    </w:p>
    <w:p>
      <w:pPr>
        <w:tabs>
          <w:tab w:val="left" w:pos="993" w:leader="none"/>
        </w:tabs>
        <w:spacing w:line="276" w:lineRule="auto"/>
        <w:ind w:firstLine="709"/>
        <w:rPr>
          <w:sz w:val="24"/>
          <w:szCs w:val="24"/>
        </w:rPr>
      </w:pPr>
      <w:r>
        <w:rPr>
          <w:color w:val="000000"/>
        </w:rPr>
        <w:t xml:space="preserve">-</w:t>
      </w:r>
      <w:r>
        <w:rPr>
          <w:color w:val="000000"/>
        </w:rPr>
        <w:tab/>
        <w:t xml:space="preserve">сократилась общая численность зарегистрированных медицинскими организациями потребителей наркотиков, как с синдромом зависимости от наркотических средств, так и среди лиц с пагубным употреблением наркотиков;</w:t>
      </w:r>
      <w:r>
        <w:rPr>
          <w:sz w:val="24"/>
          <w:szCs w:val="24"/>
        </w:rPr>
      </w:r>
    </w:p>
    <w:p>
      <w:pPr>
        <w:tabs>
          <w:tab w:val="left" w:pos="993" w:leader="none"/>
        </w:tabs>
        <w:spacing w:line="276" w:lineRule="auto"/>
        <w:ind w:firstLine="709"/>
        <w:rPr>
          <w:sz w:val="24"/>
          <w:szCs w:val="24"/>
        </w:rPr>
      </w:pPr>
      <w:r>
        <w:rPr>
          <w:color w:val="000000"/>
        </w:rPr>
        <w:t xml:space="preserve">-</w:t>
      </w:r>
      <w:r>
        <w:rPr>
          <w:color w:val="000000"/>
        </w:rPr>
        <w:tab/>
        <w:t xml:space="preserve">сократилась общая численность состоящих под наблюдением врача-психиатра-нарколога лиц с наркологическими расстройствами, связанными с употреблением наркотиков.</w:t>
      </w:r>
      <w:r>
        <w:rPr>
          <w:color w:val="000000"/>
          <w:sz w:val="24"/>
          <w:szCs w:val="24"/>
        </w:rPr>
        <w:t xml:space="preserve"> </w:t>
      </w:r>
      <w:r>
        <w:rPr>
          <w:sz w:val="24"/>
          <w:szCs w:val="24"/>
        </w:rPr>
      </w:r>
    </w:p>
    <w:p>
      <w:pPr>
        <w:tabs>
          <w:tab w:val="left" w:pos="993" w:leader="none"/>
        </w:tabs>
        <w:spacing w:line="276" w:lineRule="auto"/>
        <w:ind w:firstLine="709"/>
        <w:rPr>
          <w:sz w:val="24"/>
          <w:szCs w:val="24"/>
        </w:rPr>
      </w:pPr>
      <w:r>
        <w:rPr>
          <w:color w:val="000000"/>
        </w:rPr>
        <w:t xml:space="preserve">Распространенность наркомании (общее количество зарегистрированных больных с наркоманией) в автономном округе снизилась (рис. 1), в 2025 году показатель составил 88,1 на 100 тысяч населения (</w:t>
      </w:r>
      <w:r>
        <w:rPr>
          <w:color w:val="000000"/>
        </w:rPr>
        <w:t xml:space="preserve">абс</w:t>
      </w:r>
      <w:r>
        <w:rPr>
          <w:color w:val="000000"/>
        </w:rPr>
        <w:t xml:space="preserve">. 1570), в 2024 году 92,3 на 100 тысяч населения (</w:t>
      </w:r>
      <w:r>
        <w:rPr>
          <w:color w:val="000000"/>
        </w:rPr>
        <w:t xml:space="preserve">абс</w:t>
      </w:r>
      <w:r>
        <w:rPr>
          <w:color w:val="000000"/>
        </w:rPr>
        <w:t xml:space="preserve">. 1634), снижение составило 4,6%. </w:t>
      </w:r>
      <w:r>
        <w:rPr>
          <w:sz w:val="24"/>
          <w:szCs w:val="24"/>
        </w:rPr>
      </w:r>
    </w:p>
    <w:p>
      <w:pPr>
        <w:spacing w:line="240" w:lineRule="auto"/>
        <w:ind w:firstLine="0"/>
        <w:jc w:val="center"/>
        <w:rPr>
          <w:sz w:val="24"/>
          <w:szCs w:val="24"/>
        </w:rPr>
      </w:pPr>
      <w:r>
        <w:rPr>
          <w:color w:val="000000"/>
        </w:rPr>
        <mc:AlternateContent>
          <mc:Choice Requires="wpg">
            <w:drawing>
              <wp:inline xmlns:wp="http://schemas.openxmlformats.org/drawingml/2006/wordprocessingDrawing" distT="0" distB="0" distL="0" distR="0">
                <wp:extent cx="5743575" cy="2124075"/>
                <wp:effectExtent l="0" t="0" r="9525" b="9525"/>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1"/>
                        <a:stretch/>
                      </pic:blipFill>
                      <pic:spPr bwMode="auto">
                        <a:xfrm>
                          <a:off x="0" y="0"/>
                          <a:ext cx="5743575" cy="21240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2.2pt;height:167.2pt;mso-wrap-distance-left:0.0pt;mso-wrap-distance-top:0.0pt;mso-wrap-distance-right:0.0pt;mso-wrap-distance-bottom:0.0pt;" stroked="f">
                <v:path textboxrect="0,0,0,0"/>
                <v:imagedata r:id="rId21" o:title=""/>
              </v:shape>
            </w:pict>
          </mc:Fallback>
        </mc:AlternateContent>
      </w:r>
      <w:r>
        <w:rPr>
          <w:sz w:val="24"/>
          <w:szCs w:val="24"/>
        </w:rPr>
      </w:r>
    </w:p>
    <w:p>
      <w:pPr>
        <w:spacing w:line="240" w:lineRule="auto"/>
        <w:ind w:firstLine="0"/>
        <w:jc w:val="center"/>
      </w:pPr>
      <w:r>
        <w:rPr>
          <w:bCs/>
          <w:color w:val="000000"/>
        </w:rPr>
        <w:t xml:space="preserve">Рис.1. Динамика показателя общей распространенности </w:t>
      </w:r>
      <w:r>
        <w:rPr>
          <w:bCs/>
          <w:color w:val="000000"/>
        </w:rPr>
        <w:br/>
        <w:t xml:space="preserve"> наркоманий в 2020-2025 гг. (на 100 тысяч населения)</w:t>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color w:val="000000"/>
        </w:rPr>
        <w:t xml:space="preserve">Для сравнения, показатель болезненности наркоманией в Российской Федерации за 2024 год</w:t>
      </w:r>
      <w:bookmarkStart w:id="0" w:name="_Ref189598293"/>
      <w:bookmarkEnd w:id="0"/>
      <w:r>
        <w:rPr>
          <w:color w:val="000000"/>
          <w:vertAlign w:val="superscript"/>
        </w:rPr>
        <w:footnoteReference w:id="31"/>
      </w:r>
      <w:r>
        <w:rPr>
          <w:color w:val="000000"/>
        </w:rPr>
        <w:t xml:space="preserve"> составлял 152,7 на 100 тысяч населения, по Уральскому Федеральному округу в 2024 году – 165,0 на 100 тысяч населения. </w:t>
      </w:r>
      <w:r>
        <w:rPr>
          <w:sz w:val="24"/>
          <w:szCs w:val="24"/>
        </w:rPr>
      </w:r>
    </w:p>
    <w:p>
      <w:pPr>
        <w:spacing w:line="276" w:lineRule="auto"/>
        <w:ind w:firstLine="709"/>
        <w:rPr>
          <w:color w:val="000000"/>
        </w:rPr>
      </w:pPr>
      <w:r>
        <w:rPr>
          <w:color w:val="000000"/>
        </w:rPr>
        <w:t xml:space="preserve">Уровень болезненности наркоманией в 2025 году имеет тенденцию к увеличению на территории следующих муниципальных образований ХМАО-Югры (рис. 2): </w:t>
      </w:r>
      <w:r>
        <w:rPr>
          <w:color w:val="000000"/>
        </w:rPr>
      </w:r>
    </w:p>
    <w:p>
      <w:pPr>
        <w:spacing w:line="276" w:lineRule="auto"/>
        <w:ind w:firstLine="709"/>
        <w:rPr>
          <w:color w:val="000000"/>
        </w:rPr>
      </w:pPr>
      <w:r>
        <w:rPr>
          <w:color w:val="000000"/>
        </w:rPr>
        <w:t xml:space="preserve">- Белоярский район – на 51,4%, что составило 10,6 на 100 тысяч населения (</w:t>
      </w:r>
      <w:r>
        <w:rPr>
          <w:color w:val="000000"/>
        </w:rPr>
        <w:t xml:space="preserve">абс</w:t>
      </w:r>
      <w:r>
        <w:rPr>
          <w:color w:val="000000"/>
        </w:rPr>
        <w:t xml:space="preserve">. 3; в 2024 г. – 7,0 на 100 тысяч населения, </w:t>
      </w:r>
      <w:r>
        <w:rPr>
          <w:color w:val="000000"/>
        </w:rPr>
        <w:t xml:space="preserve">абс</w:t>
      </w:r>
      <w:r>
        <w:rPr>
          <w:color w:val="000000"/>
        </w:rPr>
        <w:t xml:space="preserve">. 2); </w:t>
      </w:r>
      <w:r>
        <w:rPr>
          <w:color w:val="000000"/>
        </w:rPr>
      </w:r>
    </w:p>
    <w:p>
      <w:pPr>
        <w:spacing w:line="276" w:lineRule="auto"/>
        <w:ind w:firstLine="709"/>
        <w:rPr>
          <w:color w:val="000000"/>
        </w:rPr>
      </w:pPr>
      <w:r>
        <w:rPr>
          <w:color w:val="000000"/>
        </w:rPr>
        <w:t xml:space="preserve">- Ханты-Мансийский район – на 8,9%, что составило 62,7 на 100 тысяч населения (</w:t>
      </w:r>
      <w:r>
        <w:rPr>
          <w:color w:val="000000"/>
        </w:rPr>
        <w:t xml:space="preserve">абс</w:t>
      </w:r>
      <w:r>
        <w:rPr>
          <w:color w:val="000000"/>
        </w:rPr>
        <w:t xml:space="preserve">. 12; в 2024 г. – 57,6 на 100 тысяч населения, </w:t>
      </w:r>
      <w:r>
        <w:rPr>
          <w:color w:val="000000"/>
        </w:rPr>
        <w:t xml:space="preserve">абс</w:t>
      </w:r>
      <w:r>
        <w:rPr>
          <w:color w:val="000000"/>
        </w:rPr>
        <w:t xml:space="preserve">. 11); </w:t>
      </w:r>
      <w:r>
        <w:rPr>
          <w:color w:val="000000"/>
        </w:rPr>
      </w:r>
    </w:p>
    <w:p>
      <w:pPr>
        <w:spacing w:line="276" w:lineRule="auto"/>
        <w:ind w:firstLine="709"/>
        <w:rPr>
          <w:color w:val="000000"/>
        </w:rPr>
      </w:pPr>
      <w:r>
        <w:rPr>
          <w:color w:val="000000"/>
        </w:rPr>
        <w:t xml:space="preserve">- Сургутский район – на 3,9%, что составило 91,5 на 100 тысяч населения (</w:t>
      </w:r>
      <w:r>
        <w:rPr>
          <w:color w:val="000000"/>
        </w:rPr>
        <w:t xml:space="preserve">абс</w:t>
      </w:r>
      <w:r>
        <w:rPr>
          <w:color w:val="000000"/>
        </w:rPr>
        <w:t xml:space="preserve">. 120; в 2024 г. – 88,1 на 100 тысяч населения, </w:t>
      </w:r>
      <w:r>
        <w:rPr>
          <w:color w:val="000000"/>
        </w:rPr>
        <w:t xml:space="preserve">абс</w:t>
      </w:r>
      <w:r>
        <w:rPr>
          <w:color w:val="000000"/>
        </w:rPr>
        <w:t xml:space="preserve">. 115); </w:t>
      </w:r>
      <w:r>
        <w:rPr>
          <w:color w:val="000000"/>
        </w:rPr>
      </w:r>
    </w:p>
    <w:p>
      <w:pPr>
        <w:spacing w:line="276" w:lineRule="auto"/>
        <w:ind w:firstLine="709"/>
        <w:rPr>
          <w:color w:val="000000"/>
        </w:rPr>
      </w:pPr>
      <w:r>
        <w:rPr>
          <w:color w:val="000000"/>
        </w:rPr>
        <w:t xml:space="preserve">- Советский район – на 1,7%, что составило 215,8 на 100 тысяч населения (</w:t>
      </w:r>
      <w:r>
        <w:rPr>
          <w:color w:val="000000"/>
        </w:rPr>
        <w:t xml:space="preserve">абс</w:t>
      </w:r>
      <w:r>
        <w:rPr>
          <w:color w:val="000000"/>
        </w:rPr>
        <w:t xml:space="preserve">. 101; в 2024 г. – 212,2 на 100 тысяч населения, </w:t>
      </w:r>
      <w:r>
        <w:rPr>
          <w:color w:val="000000"/>
        </w:rPr>
        <w:t xml:space="preserve">абс</w:t>
      </w:r>
      <w:r>
        <w:rPr>
          <w:color w:val="000000"/>
        </w:rPr>
        <w:t xml:space="preserve">. 99);</w:t>
      </w:r>
      <w:r>
        <w:rPr>
          <w:color w:val="000000"/>
        </w:rPr>
      </w:r>
    </w:p>
    <w:p>
      <w:pPr>
        <w:spacing w:line="276" w:lineRule="auto"/>
        <w:ind w:firstLine="709"/>
        <w:rPr>
          <w:sz w:val="24"/>
          <w:szCs w:val="24"/>
        </w:rPr>
      </w:pPr>
      <w:r>
        <w:rPr>
          <w:color w:val="000000"/>
        </w:rPr>
        <w:t xml:space="preserve">- г. Ханты-Мансийск на 1,2%, что составило 174,2 на 100 тысяч населения (</w:t>
      </w:r>
      <w:r>
        <w:rPr>
          <w:color w:val="000000"/>
        </w:rPr>
        <w:t xml:space="preserve">абс</w:t>
      </w:r>
      <w:r>
        <w:rPr>
          <w:color w:val="000000"/>
        </w:rPr>
        <w:t xml:space="preserve">. 198; в 2024 г. – 172,1 на 100 тысяч населения, </w:t>
      </w:r>
      <w:r>
        <w:rPr>
          <w:color w:val="000000"/>
        </w:rPr>
        <w:t xml:space="preserve">абс</w:t>
      </w:r>
      <w:r>
        <w:rPr>
          <w:color w:val="000000"/>
        </w:rPr>
        <w:t xml:space="preserve">. 194). </w:t>
      </w:r>
      <w:r>
        <w:rPr>
          <w:sz w:val="24"/>
          <w:szCs w:val="24"/>
        </w:rPr>
      </w:r>
    </w:p>
    <w:p>
      <w:pPr>
        <w:spacing w:line="276" w:lineRule="auto"/>
        <w:ind w:firstLine="709"/>
        <w:rPr>
          <w:sz w:val="24"/>
          <w:szCs w:val="24"/>
        </w:rPr>
      </w:pPr>
      <w:r>
        <w:rPr>
          <w:color w:val="000000"/>
        </w:rPr>
        <w:t xml:space="preserve">Динамику общей заболеваемости наркоманиями в муниципальных образованиях в муниципальных образованиях, где значение показателей небольшое и разница составляет от единицы до 5-ти новых зарегистрированных случаев, нельзя считать значимой. </w:t>
      </w:r>
      <w:r>
        <w:rPr>
          <w:sz w:val="24"/>
          <w:szCs w:val="24"/>
        </w:rPr>
      </w:r>
    </w:p>
    <w:p>
      <w:pPr>
        <w:spacing w:line="276" w:lineRule="auto"/>
        <w:ind w:firstLine="709"/>
        <w:rPr>
          <w:color w:val="000000"/>
        </w:rPr>
      </w:pPr>
      <w:r>
        <w:rPr>
          <w:color w:val="000000"/>
        </w:rPr>
        <w:t xml:space="preserve">В г. </w:t>
      </w:r>
      <w:r>
        <w:rPr>
          <w:color w:val="000000"/>
        </w:rPr>
        <w:t xml:space="preserve">Пыть-Ях</w:t>
      </w:r>
      <w:r>
        <w:rPr>
          <w:color w:val="000000"/>
        </w:rPr>
        <w:t xml:space="preserve"> в связи с увеличением численности населения,</w:t>
      </w:r>
      <w:r>
        <w:rPr>
          <w:color w:val="000000"/>
        </w:rPr>
        <w:br/>
        <w:t xml:space="preserve"> при сохранении числа зарегистрированных лиц с наркоманиями</w:t>
      </w:r>
      <w:r>
        <w:rPr>
          <w:color w:val="000000"/>
        </w:rPr>
        <w:br/>
        <w:t xml:space="preserve"> на уровне 2024 года отмечается снижение показателя болезненности наркоманией на 0,8% (в 2025 г. – 152,9 на 100 тысяч населения, в 2024 г. – 154,1 на 100 тысяч населения, </w:t>
      </w:r>
      <w:r>
        <w:rPr>
          <w:color w:val="000000"/>
        </w:rPr>
        <w:t xml:space="preserve">абс</w:t>
      </w:r>
      <w:r>
        <w:rPr>
          <w:color w:val="000000"/>
        </w:rPr>
        <w:t xml:space="preserve">. 63). </w:t>
      </w:r>
      <w:r>
        <w:rPr>
          <w:color w:val="000000"/>
        </w:rPr>
      </w:r>
    </w:p>
    <w:p>
      <w:pPr>
        <w:spacing w:line="276" w:lineRule="auto"/>
        <w:ind w:firstLine="709"/>
        <w:rPr>
          <w:color w:val="000000"/>
        </w:rPr>
      </w:pPr>
      <w:r>
        <w:rPr>
          <w:color w:val="000000"/>
        </w:rPr>
        <w:t xml:space="preserve">В г. </w:t>
      </w:r>
      <w:r>
        <w:rPr>
          <w:color w:val="000000"/>
        </w:rPr>
        <w:t xml:space="preserve">Покачи</w:t>
      </w:r>
      <w:r>
        <w:rPr>
          <w:color w:val="000000"/>
        </w:rPr>
        <w:t xml:space="preserve"> и </w:t>
      </w:r>
      <w:r>
        <w:rPr>
          <w:color w:val="000000"/>
        </w:rPr>
        <w:t xml:space="preserve">Кондинском</w:t>
      </w:r>
      <w:r>
        <w:rPr>
          <w:color w:val="000000"/>
        </w:rPr>
        <w:t xml:space="preserve"> районе сохраняется болезненность наркоманией на уровне 2024 года (6,0 на 100 тысяч населения, </w:t>
      </w:r>
      <w:r>
        <w:rPr>
          <w:color w:val="000000"/>
        </w:rPr>
        <w:t xml:space="preserve">абс</w:t>
      </w:r>
      <w:r>
        <w:rPr>
          <w:color w:val="000000"/>
        </w:rPr>
        <w:t xml:space="preserve">. 1 для </w:t>
      </w:r>
      <w:r>
        <w:rPr>
          <w:color w:val="000000"/>
        </w:rPr>
        <w:t xml:space="preserve">Покачей</w:t>
      </w:r>
      <w:r>
        <w:rPr>
          <w:color w:val="000000"/>
        </w:rPr>
        <w:t xml:space="preserve"> и 9,9 на 100 тысяч населения, </w:t>
      </w:r>
      <w:r>
        <w:rPr>
          <w:color w:val="000000"/>
        </w:rPr>
        <w:t xml:space="preserve">абс</w:t>
      </w:r>
      <w:r>
        <w:rPr>
          <w:color w:val="000000"/>
        </w:rPr>
        <w:t xml:space="preserve">. 2 для </w:t>
      </w:r>
      <w:r>
        <w:rPr>
          <w:color w:val="000000"/>
        </w:rPr>
        <w:t xml:space="preserve">Кондинского</w:t>
      </w:r>
      <w:r>
        <w:rPr>
          <w:color w:val="000000"/>
        </w:rPr>
        <w:t xml:space="preserve"> района). </w:t>
      </w:r>
      <w:r>
        <w:rPr>
          <w:color w:val="000000"/>
        </w:rPr>
      </w:r>
    </w:p>
    <w:p>
      <w:pPr>
        <w:spacing w:line="276" w:lineRule="auto"/>
        <w:ind w:firstLine="709"/>
        <w:rPr>
          <w:color w:val="000000"/>
        </w:rPr>
      </w:pPr>
      <w:r>
        <w:rPr>
          <w:color w:val="000000"/>
        </w:rPr>
        <w:t xml:space="preserve">В других муниципальных образованиях автономного округа отмечается снижение уровня общей распространенности наркоманий.</w:t>
      </w:r>
      <w:r>
        <w:rPr>
          <w:color w:val="000000"/>
        </w:rPr>
      </w:r>
    </w:p>
    <w:p>
      <w:pPr>
        <w:spacing w:line="276" w:lineRule="auto"/>
        <w:ind w:firstLine="709"/>
        <w:rPr>
          <w:sz w:val="24"/>
          <w:szCs w:val="24"/>
        </w:rPr>
      </w:pPr>
      <w:r>
        <w:rPr>
          <w:color w:val="000000"/>
        </w:rPr>
        <w:t xml:space="preserve">В структуре болезненности наркоманиями за 2025 и 2024 годы несовершеннолетних не зарегистрировано. </w:t>
      </w:r>
      <w:r>
        <w:rPr>
          <w:sz w:val="24"/>
          <w:szCs w:val="24"/>
        </w:rPr>
      </w:r>
    </w:p>
    <w:p>
      <w:pPr>
        <w:spacing w:line="276" w:lineRule="auto"/>
        <w:ind w:firstLine="709"/>
        <w:rPr>
          <w:sz w:val="24"/>
          <w:szCs w:val="24"/>
        </w:rPr>
      </w:pPr>
      <w:r>
        <w:rPr>
          <w:color w:val="000000"/>
        </w:rPr>
        <w:t xml:space="preserve">Следует отметить, что превышение уровня окружного показателя болезненности наркоманией в 2025 году зафиксировано в Советском районе (в 2,4 раза); в городах </w:t>
      </w:r>
      <w:r>
        <w:rPr>
          <w:color w:val="000000"/>
        </w:rPr>
        <w:t xml:space="preserve">Югорск</w:t>
      </w:r>
      <w:r>
        <w:rPr>
          <w:color w:val="000000"/>
        </w:rPr>
        <w:t xml:space="preserve"> (в 2,1 раза, показатель составляет 187,0 на 100 тысяч населения, </w:t>
      </w:r>
      <w:r>
        <w:rPr>
          <w:color w:val="000000"/>
        </w:rPr>
        <w:t xml:space="preserve">абс</w:t>
      </w:r>
      <w:r>
        <w:rPr>
          <w:color w:val="000000"/>
        </w:rPr>
        <w:t xml:space="preserve">. 74); Ханты-Мансийск (в 2,0 раза); </w:t>
      </w:r>
      <w:r>
        <w:rPr>
          <w:color w:val="000000"/>
        </w:rPr>
        <w:t xml:space="preserve">Пыть-Ях</w:t>
      </w:r>
      <w:r>
        <w:rPr>
          <w:color w:val="000000"/>
        </w:rPr>
        <w:t xml:space="preserve"> (в 1,7 раза); </w:t>
      </w:r>
      <w:r>
        <w:rPr>
          <w:color w:val="000000"/>
        </w:rPr>
        <w:t xml:space="preserve">Нижневартовск (на 54,9%, показатель составляет 136,5 на 100 тысяч населения).</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3286125"/>
                <wp:effectExtent l="0" t="0" r="9525" b="9525"/>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2"/>
                        <a:stretch/>
                      </pic:blipFill>
                      <pic:spPr bwMode="auto">
                        <a:xfrm>
                          <a:off x="0" y="0"/>
                          <a:ext cx="5953125" cy="3286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8.8pt;height:258.8pt;mso-wrap-distance-left:0.0pt;mso-wrap-distance-top:0.0pt;mso-wrap-distance-right:0.0pt;mso-wrap-distance-bottom:0.0pt;" stroked="f">
                <v:path textboxrect="0,0,0,0"/>
                <v:imagedata r:id="rId22" o:title=""/>
              </v:shape>
            </w:pict>
          </mc:Fallback>
        </mc:AlternateContent>
      </w:r>
      <w:r>
        <w:rPr>
          <w:sz w:val="24"/>
          <w:szCs w:val="24"/>
        </w:rPr>
      </w:r>
    </w:p>
    <w:p>
      <w:pPr>
        <w:spacing w:line="240" w:lineRule="auto"/>
        <w:ind w:firstLine="0"/>
        <w:jc w:val="center"/>
        <w:rPr>
          <w:color w:val="000000"/>
        </w:rPr>
      </w:pPr>
      <w:r>
        <w:rPr>
          <w:bCs/>
          <w:color w:val="000000"/>
        </w:rPr>
        <w:t xml:space="preserve">Рис. 2. Общая распространенность наркоманий в 2024 и 2025 гг. </w:t>
      </w:r>
      <w:r>
        <w:rPr>
          <w:bCs/>
          <w:color w:val="000000"/>
        </w:rPr>
        <w:br/>
        <w:t xml:space="preserve"> в разрезе муниципальных образований автономного округа </w:t>
      </w:r>
      <w:r>
        <w:rPr>
          <w:color w:val="000000"/>
        </w:rPr>
      </w:r>
    </w:p>
    <w:p>
      <w:pPr>
        <w:spacing w:line="240" w:lineRule="auto"/>
        <w:ind w:firstLine="0"/>
        <w:jc w:val="center"/>
      </w:pPr>
      <w:r>
        <w:rPr>
          <w:bCs/>
          <w:color w:val="000000"/>
        </w:rPr>
        <w:t xml:space="preserve">(на 100 тысяч населения)</w:t>
      </w:r>
    </w:p>
    <w:p>
      <w:pPr>
        <w:spacing w:line="276" w:lineRule="auto"/>
        <w:ind w:firstLine="709"/>
      </w:pPr>
      <w:r>
        <w:t xml:space="preserve"> </w:t>
      </w:r>
    </w:p>
    <w:p>
      <w:pPr>
        <w:spacing w:line="276" w:lineRule="auto"/>
        <w:ind w:firstLine="709"/>
        <w:rPr>
          <w:sz w:val="24"/>
          <w:szCs w:val="24"/>
        </w:rPr>
      </w:pPr>
      <w:r>
        <w:rPr>
          <w:b/>
          <w:bCs/>
          <w:i/>
          <w:iCs/>
          <w:color w:val="000000"/>
        </w:rPr>
        <w:t xml:space="preserve">Анализ динамики первичной заболеваемости наркоманией</w:t>
      </w:r>
      <w:r>
        <w:rPr>
          <w:sz w:val="24"/>
          <w:szCs w:val="24"/>
        </w:rPr>
      </w:r>
    </w:p>
    <w:p>
      <w:pPr>
        <w:spacing w:line="276" w:lineRule="auto"/>
        <w:ind w:firstLine="709"/>
        <w:rPr>
          <w:sz w:val="24"/>
          <w:szCs w:val="24"/>
        </w:rPr>
      </w:pPr>
      <w:r>
        <w:rPr>
          <w:color w:val="000000"/>
        </w:rPr>
        <w:t xml:space="preserve">Уровень первичной заболеваемости наркоманиями (т.е. количества впервые обратившихся за медицинской наркологической помощью в текущем году) в Югре снизился в 2025 году, составил 4,4 на 100 тысяч населения (</w:t>
      </w:r>
      <w:r>
        <w:rPr>
          <w:color w:val="000000"/>
        </w:rPr>
        <w:t xml:space="preserve">абс</w:t>
      </w:r>
      <w:r>
        <w:rPr>
          <w:color w:val="000000"/>
        </w:rPr>
        <w:t xml:space="preserve">. 79), в 2024 году 5,1 на 100 тысяч населения (</w:t>
      </w:r>
      <w:r>
        <w:rPr>
          <w:color w:val="000000"/>
        </w:rPr>
        <w:t xml:space="preserve">абс</w:t>
      </w:r>
      <w:r>
        <w:rPr>
          <w:color w:val="000000"/>
        </w:rPr>
        <w:t xml:space="preserve">. 91), снижение составило 13,7 % (рис. 3).</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2819400"/>
                <wp:effectExtent l="0" t="0" r="9525"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3"/>
                        <a:stretch/>
                      </pic:blipFill>
                      <pic:spPr bwMode="auto">
                        <a:xfrm>
                          <a:off x="0" y="0"/>
                          <a:ext cx="5953125" cy="2819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8pt;height:222.0pt;mso-wrap-distance-left:0.0pt;mso-wrap-distance-top:0.0pt;mso-wrap-distance-right:0.0pt;mso-wrap-distance-bottom:0.0pt;" stroked="f">
                <v:path textboxrect="0,0,0,0"/>
                <v:imagedata r:id="rId23" o:title=""/>
              </v:shape>
            </w:pict>
          </mc:Fallback>
        </mc:AlternateContent>
      </w:r>
      <w:r>
        <w:rPr>
          <w:sz w:val="24"/>
          <w:szCs w:val="24"/>
        </w:rPr>
      </w:r>
    </w:p>
    <w:p>
      <w:pPr>
        <w:spacing w:line="240" w:lineRule="auto"/>
        <w:ind w:firstLine="0"/>
        <w:jc w:val="center"/>
      </w:pPr>
      <w:r>
        <w:rPr>
          <w:bCs/>
          <w:color w:val="000000"/>
        </w:rPr>
        <w:t xml:space="preserve">Рис. 3. Динамика первичной заболеваемости наркоманиями </w:t>
      </w:r>
      <w:r>
        <w:rPr>
          <w:bCs/>
          <w:color w:val="000000"/>
        </w:rPr>
        <w:br/>
        <w:t xml:space="preserve">в 2020-2025 гг. (на 100 тысяч населения)</w:t>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color w:val="000000"/>
        </w:rPr>
        <w:t xml:space="preserve">Для сравнения, показатель первичной заболеваемости наркоманиями в Российской Федерации за 2023 год составлял 8,8 на 100 тысяч населения, по Уральскому Федеральному округу в 2023 году – 13,3 на 100 тысяч населения. </w:t>
      </w:r>
      <w:r>
        <w:rPr>
          <w:sz w:val="24"/>
          <w:szCs w:val="24"/>
        </w:rPr>
      </w:r>
    </w:p>
    <w:p>
      <w:pPr>
        <w:spacing w:line="276" w:lineRule="auto"/>
        <w:ind w:firstLine="709"/>
        <w:rPr>
          <w:color w:val="000000"/>
        </w:rPr>
      </w:pPr>
      <w:r>
        <w:rPr>
          <w:color w:val="000000"/>
        </w:rPr>
        <w:t xml:space="preserve">Увеличение первичной заболеваемости наркоманиями зафиксировано в следующих муниципальных образованиях автономного округа (рис. 4): в городах </w:t>
      </w:r>
      <w:r>
        <w:rPr>
          <w:color w:val="000000"/>
        </w:rPr>
        <w:t xml:space="preserve">Пыть-Ях</w:t>
      </w:r>
      <w:r>
        <w:rPr>
          <w:color w:val="000000"/>
        </w:rPr>
        <w:t xml:space="preserve"> – с 0 случаев в 2024 году до 2-х новых случаев в 2025 году; Когалым – с 1 до 2-х случаев; </w:t>
      </w:r>
      <w:r>
        <w:rPr>
          <w:color w:val="000000"/>
        </w:rPr>
        <w:t xml:space="preserve">Лангепас</w:t>
      </w:r>
      <w:r>
        <w:rPr>
          <w:color w:val="000000"/>
        </w:rPr>
        <w:t xml:space="preserve"> – с 2 до 3-х случаев; Нягань – с 3 до 4-х случаев; Радужный – с 0 до 1-го случая; </w:t>
      </w:r>
      <w:r>
        <w:rPr>
          <w:color w:val="000000"/>
        </w:rPr>
        <w:t xml:space="preserve">Югорск</w:t>
      </w:r>
      <w:r>
        <w:rPr>
          <w:color w:val="000000"/>
        </w:rPr>
        <w:t xml:space="preserve"> – с 0 до 1-го случая и в Советском районе – с 3 до 4-х случаев.</w:t>
      </w:r>
      <w:r>
        <w:rPr>
          <w:color w:val="000000"/>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324475" cy="952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4"/>
                        <a:stretch/>
                      </pic:blipFill>
                      <pic:spPr bwMode="auto">
                        <a:xfrm>
                          <a:off x="0" y="0"/>
                          <a:ext cx="5324475" cy="9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19.2pt;height:0.8pt;mso-wrap-distance-left:0.0pt;mso-wrap-distance-top:0.0pt;mso-wrap-distance-right:0.0pt;mso-wrap-distance-bottom:0.0pt;" stroked="f">
                <v:path textboxrect="0,0,0,0"/>
                <v:imagedata r:id="rId24" o:title=""/>
              </v:shape>
            </w:pict>
          </mc:Fallback>
        </mc:AlternateContent>
      </w:r>
      <w:r>
        <w:rPr>
          <w:color w:val="000000"/>
          <w:sz w:val="24"/>
          <w:szCs w:val="24"/>
        </w:rPr>
        <mc:AlternateContent>
          <mc:Choice Requires="wpg">
            <w:drawing>
              <wp:inline xmlns:wp="http://schemas.openxmlformats.org/drawingml/2006/wordprocessingDrawing" distT="0" distB="0" distL="0" distR="0">
                <wp:extent cx="5953125" cy="3371850"/>
                <wp:effectExtent l="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25"/>
                        <a:stretch/>
                      </pic:blipFill>
                      <pic:spPr bwMode="auto">
                        <a:xfrm>
                          <a:off x="0" y="0"/>
                          <a:ext cx="5953125" cy="3371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8pt;height:265.5pt;mso-wrap-distance-left:0.0pt;mso-wrap-distance-top:0.0pt;mso-wrap-distance-right:0.0pt;mso-wrap-distance-bottom:0.0pt;" stroked="f">
                <v:path textboxrect="0,0,0,0"/>
                <v:imagedata r:id="rId25" o:title=""/>
              </v:shape>
            </w:pict>
          </mc:Fallback>
        </mc:AlternateContent>
      </w:r>
      <w:r>
        <w:rPr>
          <w:sz w:val="24"/>
          <w:szCs w:val="24"/>
        </w:rPr>
      </w:r>
    </w:p>
    <w:p>
      <w:pPr>
        <w:spacing w:line="240" w:lineRule="auto"/>
        <w:ind w:firstLine="0"/>
        <w:jc w:val="center"/>
      </w:pPr>
      <w:r>
        <w:rPr>
          <w:bCs/>
          <w:color w:val="000000"/>
        </w:rPr>
        <w:t xml:space="preserve">Рис. 4. Первичная заболеваемость наркоманиями в 2024-2025 гг. </w:t>
      </w:r>
      <w:r>
        <w:rPr>
          <w:bCs/>
          <w:color w:val="000000"/>
        </w:rPr>
        <w:br/>
        <w:t xml:space="preserve"> в автономном округе (на 100 тысяч населения)</w:t>
      </w:r>
    </w:p>
    <w:p>
      <w:pPr>
        <w:spacing w:line="276" w:lineRule="auto"/>
        <w:ind w:firstLine="709"/>
        <w:rPr>
          <w:sz w:val="24"/>
          <w:szCs w:val="24"/>
        </w:rPr>
      </w:pPr>
      <w:r>
        <w:rPr>
          <w:sz w:val="24"/>
          <w:szCs w:val="24"/>
        </w:rPr>
      </w:r>
      <w:r>
        <w:rPr>
          <w:sz w:val="24"/>
          <w:szCs w:val="24"/>
        </w:rPr>
      </w:r>
    </w:p>
    <w:p>
      <w:pPr>
        <w:spacing w:line="276" w:lineRule="auto"/>
        <w:ind w:firstLine="709"/>
        <w:rPr>
          <w:sz w:val="24"/>
          <w:szCs w:val="24"/>
        </w:rPr>
      </w:pPr>
      <w:r>
        <w:rPr>
          <w:sz w:val="24"/>
          <w:szCs w:val="24"/>
        </w:rPr>
        <w:t xml:space="preserve"> </w:t>
      </w:r>
      <w:r>
        <w:rPr>
          <w:color w:val="000000"/>
        </w:rPr>
        <w:t xml:space="preserve">В г. Урай и Ханты-Мансийском районе сохраняется первичная заболеваемость наркоманиями на уровне 2024 года (7,3 на 100 тысяч населения, </w:t>
      </w:r>
      <w:r>
        <w:rPr>
          <w:color w:val="000000"/>
        </w:rPr>
        <w:t xml:space="preserve">абс</w:t>
      </w:r>
      <w:r>
        <w:rPr>
          <w:color w:val="000000"/>
        </w:rPr>
        <w:t xml:space="preserve">. 3 для </w:t>
      </w:r>
      <w:r>
        <w:rPr>
          <w:color w:val="000000"/>
        </w:rPr>
        <w:t xml:space="preserve">Урая</w:t>
      </w:r>
      <w:r>
        <w:rPr>
          <w:color w:val="000000"/>
        </w:rPr>
        <w:t xml:space="preserve">) и (5,2 на 100 тысяч населения,</w:t>
      </w:r>
      <w:r>
        <w:rPr>
          <w:color w:val="000000"/>
        </w:rPr>
        <w:br/>
        <w:t xml:space="preserve"> </w:t>
      </w:r>
      <w:r>
        <w:rPr>
          <w:color w:val="000000"/>
        </w:rPr>
        <w:t xml:space="preserve">абс</w:t>
      </w:r>
      <w:r>
        <w:rPr>
          <w:color w:val="000000"/>
        </w:rPr>
        <w:t xml:space="preserve">. 1 для Ханты-Мансийского района).</w:t>
      </w:r>
      <w:r>
        <w:rPr>
          <w:sz w:val="24"/>
          <w:szCs w:val="24"/>
        </w:rPr>
      </w:r>
    </w:p>
    <w:p>
      <w:pPr>
        <w:spacing w:line="276" w:lineRule="auto"/>
        <w:ind w:firstLine="709"/>
        <w:rPr>
          <w:sz w:val="24"/>
          <w:szCs w:val="24"/>
        </w:rPr>
      </w:pPr>
      <w:r>
        <w:rPr>
          <w:color w:val="000000"/>
        </w:rPr>
        <w:t xml:space="preserve">В г. </w:t>
      </w:r>
      <w:r>
        <w:rPr>
          <w:color w:val="000000"/>
        </w:rPr>
        <w:t xml:space="preserve">Покачи</w:t>
      </w:r>
      <w:r>
        <w:rPr>
          <w:color w:val="000000"/>
        </w:rPr>
        <w:t xml:space="preserve">, а также в Белоярском, Березовском, </w:t>
      </w:r>
      <w:r>
        <w:rPr>
          <w:color w:val="000000"/>
        </w:rPr>
        <w:t xml:space="preserve">Кондинском</w:t>
      </w:r>
      <w:r>
        <w:rPr>
          <w:color w:val="000000"/>
        </w:rPr>
        <w:t xml:space="preserve">, Нефтеюганском и Октябрьском районах первичная заболеваемость наркоманиями в 2025 и 2024 годах не зарегистрирована.</w:t>
      </w:r>
      <w:r>
        <w:rPr>
          <w:sz w:val="24"/>
          <w:szCs w:val="24"/>
        </w:rPr>
      </w:r>
    </w:p>
    <w:p>
      <w:pPr>
        <w:spacing w:line="276" w:lineRule="auto"/>
        <w:ind w:firstLine="709"/>
        <w:rPr>
          <w:sz w:val="24"/>
          <w:szCs w:val="24"/>
        </w:rPr>
      </w:pPr>
      <w:r>
        <w:rPr>
          <w:color w:val="000000"/>
        </w:rPr>
        <w:t xml:space="preserve">При этом отмечается превышение уровня окружного показателя первичной заболеваемости наркоманиями в г. Ханты-Мансийск (в 2,6 раза, показатель составляет 11,4 на 100 тысяч населения, </w:t>
      </w:r>
      <w:r>
        <w:rPr>
          <w:color w:val="000000"/>
        </w:rPr>
        <w:t xml:space="preserve">абс</w:t>
      </w:r>
      <w:r>
        <w:rPr>
          <w:color w:val="000000"/>
        </w:rPr>
        <w:t xml:space="preserve">. 13); в Советском районе (в 1,9 раза, показатель 8,5 на 100 тысяч населения, </w:t>
      </w:r>
      <w:r>
        <w:rPr>
          <w:color w:val="000000"/>
        </w:rPr>
        <w:t xml:space="preserve">абс</w:t>
      </w:r>
      <w:r>
        <w:rPr>
          <w:color w:val="000000"/>
        </w:rPr>
        <w:t xml:space="preserve">. 4); в Сургутском районе и г. Урай (в 1,7 раза, показатель 7,6 и 7,3 на 100 тысяч населения соответственно, в абсолютных значениях – по 10 и 3 случая); в г. </w:t>
      </w:r>
      <w:r>
        <w:rPr>
          <w:color w:val="000000"/>
        </w:rPr>
        <w:t xml:space="preserve">Лангепас</w:t>
      </w:r>
      <w:r>
        <w:rPr>
          <w:color w:val="000000"/>
        </w:rPr>
        <w:t xml:space="preserve"> (в 1,5 раза, показатель 6,7 на 100 тысяч населения, </w:t>
      </w:r>
      <w:r>
        <w:rPr>
          <w:color w:val="000000"/>
        </w:rPr>
        <w:t xml:space="preserve">абс</w:t>
      </w:r>
      <w:r>
        <w:rPr>
          <w:color w:val="000000"/>
        </w:rPr>
        <w:t xml:space="preserve">. 3); а также в г. Нягань (на 43,2%), г. Сургут (на 20,5%), в Ханты-Мансийском районе (на 18,2%) и в г. </w:t>
      </w:r>
      <w:r>
        <w:rPr>
          <w:color w:val="000000"/>
        </w:rPr>
        <w:t xml:space="preserve">Пыть-Ях</w:t>
      </w:r>
      <w:r>
        <w:rPr>
          <w:color w:val="000000"/>
        </w:rPr>
        <w:t xml:space="preserve"> (на 11,4%).</w:t>
      </w:r>
      <w:r>
        <w:rPr>
          <w:sz w:val="24"/>
          <w:szCs w:val="24"/>
        </w:rPr>
      </w:r>
    </w:p>
    <w:p>
      <w:pPr>
        <w:spacing w:line="276" w:lineRule="auto"/>
        <w:ind w:firstLine="709"/>
        <w:rPr>
          <w:color w:val="000000"/>
        </w:rPr>
      </w:pPr>
      <w:r>
        <w:rPr>
          <w:color w:val="000000"/>
        </w:rPr>
        <w:t xml:space="preserve">В 2025 году в разрезе муниципальных образований зафиксировано следующее количество лиц, впервые в жизни зарегистрированных с диагнозом «наркомания»: </w:t>
      </w:r>
      <w:r>
        <w:rPr>
          <w:color w:val="000000"/>
        </w:rPr>
      </w:r>
    </w:p>
    <w:p>
      <w:pPr>
        <w:spacing w:line="276" w:lineRule="auto"/>
        <w:ind w:firstLine="709"/>
        <w:rPr>
          <w:color w:val="000000"/>
        </w:rPr>
      </w:pPr>
      <w:r>
        <w:rPr>
          <w:color w:val="000000"/>
        </w:rPr>
        <w:t xml:space="preserve">г. Сургут – 23 человека; </w:t>
      </w:r>
      <w:r>
        <w:rPr>
          <w:color w:val="000000"/>
        </w:rPr>
      </w:r>
    </w:p>
    <w:p>
      <w:pPr>
        <w:spacing w:line="276" w:lineRule="auto"/>
        <w:ind w:firstLine="709"/>
        <w:rPr>
          <w:color w:val="000000"/>
        </w:rPr>
      </w:pPr>
      <w:r>
        <w:rPr>
          <w:color w:val="000000"/>
        </w:rPr>
        <w:t xml:space="preserve">г. Ханты-Мансийск – 13 человек; </w:t>
      </w:r>
      <w:r>
        <w:rPr>
          <w:color w:val="000000"/>
        </w:rPr>
      </w:r>
    </w:p>
    <w:p>
      <w:pPr>
        <w:spacing w:line="276" w:lineRule="auto"/>
        <w:ind w:firstLine="709"/>
        <w:rPr>
          <w:color w:val="000000"/>
        </w:rPr>
      </w:pPr>
      <w:r>
        <w:rPr>
          <w:color w:val="000000"/>
        </w:rPr>
        <w:t xml:space="preserve">г. Нижневартовск – 10 человек; </w:t>
      </w:r>
      <w:r>
        <w:rPr>
          <w:color w:val="000000"/>
        </w:rPr>
      </w:r>
    </w:p>
    <w:p>
      <w:pPr>
        <w:spacing w:line="276" w:lineRule="auto"/>
        <w:ind w:firstLine="709"/>
        <w:rPr>
          <w:color w:val="000000"/>
        </w:rPr>
      </w:pPr>
      <w:r>
        <w:rPr>
          <w:color w:val="000000"/>
        </w:rPr>
        <w:t xml:space="preserve">Сургутский район – 10 человек; </w:t>
      </w:r>
      <w:r>
        <w:rPr>
          <w:color w:val="000000"/>
        </w:rPr>
      </w:r>
    </w:p>
    <w:p>
      <w:pPr>
        <w:spacing w:line="276" w:lineRule="auto"/>
        <w:ind w:firstLine="709"/>
        <w:rPr>
          <w:color w:val="000000"/>
        </w:rPr>
      </w:pPr>
      <w:r>
        <w:rPr>
          <w:color w:val="000000"/>
        </w:rPr>
        <w:t xml:space="preserve">г. Нягань – 4 человека;</w:t>
      </w:r>
      <w:r>
        <w:rPr>
          <w:color w:val="000000"/>
        </w:rPr>
      </w:r>
    </w:p>
    <w:p>
      <w:pPr>
        <w:spacing w:line="276" w:lineRule="auto"/>
        <w:ind w:firstLine="709"/>
        <w:rPr>
          <w:color w:val="000000"/>
        </w:rPr>
      </w:pPr>
      <w:r>
        <w:rPr>
          <w:color w:val="000000"/>
        </w:rPr>
        <w:t xml:space="preserve">Советский район – 4 человека. </w:t>
      </w:r>
      <w:r>
        <w:rPr>
          <w:color w:val="000000"/>
        </w:rPr>
      </w:r>
    </w:p>
    <w:p>
      <w:pPr>
        <w:spacing w:line="276" w:lineRule="auto"/>
        <w:ind w:firstLine="709"/>
        <w:rPr>
          <w:sz w:val="24"/>
          <w:szCs w:val="24"/>
        </w:rPr>
      </w:pPr>
      <w:r>
        <w:rPr>
          <w:color w:val="000000"/>
        </w:rPr>
        <w:t xml:space="preserve">В других муниципальных образованиях количество впервые выявленных случаев наркоманий, зарегистрированных медицинскими организациями, не превышает 3-х человек. </w:t>
      </w:r>
      <w:r>
        <w:rPr>
          <w:sz w:val="24"/>
          <w:szCs w:val="24"/>
        </w:rPr>
      </w:r>
    </w:p>
    <w:p>
      <w:pPr>
        <w:spacing w:line="276" w:lineRule="auto"/>
        <w:ind w:firstLine="709"/>
        <w:rPr>
          <w:sz w:val="24"/>
          <w:szCs w:val="24"/>
        </w:rPr>
      </w:pPr>
      <w:r>
        <w:rPr>
          <w:color w:val="000000"/>
        </w:rPr>
        <w:t xml:space="preserve">Снижение первичной заболеваемости наркоманиями зафиксировано в 6-ти из 22 муниципальных образований: </w:t>
      </w:r>
      <w:r>
        <w:rPr>
          <w:sz w:val="24"/>
          <w:szCs w:val="24"/>
        </w:rPr>
      </w:r>
    </w:p>
    <w:p>
      <w:pPr>
        <w:spacing w:line="276" w:lineRule="auto"/>
        <w:ind w:firstLine="709"/>
        <w:rPr>
          <w:sz w:val="24"/>
          <w:szCs w:val="24"/>
        </w:rPr>
      </w:pPr>
      <w:r>
        <w:rPr>
          <w:color w:val="000000"/>
        </w:rPr>
        <w:t xml:space="preserve">- г. Нижневартовск – на 41,4% с 17-ти до 10-ти новых случаев, при перерасчете на 100 тыс. населения: 2025 год – 3,4 и 2024 год – 5,8;</w:t>
      </w:r>
      <w:r>
        <w:rPr>
          <w:sz w:val="24"/>
          <w:szCs w:val="24"/>
        </w:rPr>
      </w:r>
    </w:p>
    <w:p>
      <w:pPr>
        <w:spacing w:line="276" w:lineRule="auto"/>
        <w:ind w:firstLine="709"/>
        <w:rPr>
          <w:sz w:val="24"/>
          <w:szCs w:val="24"/>
        </w:rPr>
      </w:pPr>
      <w:r>
        <w:rPr>
          <w:color w:val="000000"/>
        </w:rPr>
        <w:t xml:space="preserve">- г. </w:t>
      </w:r>
      <w:r>
        <w:rPr>
          <w:color w:val="000000"/>
        </w:rPr>
        <w:t xml:space="preserve">Мегион</w:t>
      </w:r>
      <w:r>
        <w:rPr>
          <w:color w:val="000000"/>
        </w:rPr>
        <w:t xml:space="preserve"> – на 100,0% с 4-х до 0 случаев, при перерасчете на 100 тыс. населения: 2024 год – 6,7;</w:t>
      </w:r>
      <w:r>
        <w:rPr>
          <w:sz w:val="24"/>
          <w:szCs w:val="24"/>
        </w:rPr>
      </w:r>
    </w:p>
    <w:p>
      <w:pPr>
        <w:spacing w:line="276" w:lineRule="auto"/>
        <w:ind w:firstLine="709"/>
        <w:rPr>
          <w:sz w:val="24"/>
          <w:szCs w:val="24"/>
        </w:rPr>
      </w:pPr>
      <w:r>
        <w:rPr>
          <w:color w:val="000000"/>
        </w:rPr>
        <w:t xml:space="preserve">- г. Нефтеюганск – на 59,0% с 5-ти до 2-х новых случаев,</w:t>
      </w:r>
      <w:r>
        <w:rPr>
          <w:color w:val="000000"/>
        </w:rPr>
        <w:br/>
        <w:t xml:space="preserve"> при перерасчете на 100 тыс. населения: 2025 год – 1,6 и 2024 год – 3,9;</w:t>
      </w:r>
      <w:r>
        <w:rPr>
          <w:sz w:val="24"/>
          <w:szCs w:val="24"/>
        </w:rPr>
      </w:r>
    </w:p>
    <w:p>
      <w:pPr>
        <w:spacing w:line="276" w:lineRule="auto"/>
        <w:ind w:firstLine="709"/>
        <w:rPr>
          <w:sz w:val="24"/>
          <w:szCs w:val="24"/>
        </w:rPr>
      </w:pPr>
      <w:r>
        <w:rPr>
          <w:color w:val="000000"/>
        </w:rPr>
        <w:t xml:space="preserve">- г. Сургут – на 10,2% с 25-ти случаев до 23-х новых случаев, при перерасчете на 100 тыс. населения: 2025 год – 5,3 и 2024 год – 5,9;</w:t>
      </w:r>
      <w:r>
        <w:rPr>
          <w:sz w:val="24"/>
          <w:szCs w:val="24"/>
        </w:rPr>
      </w:r>
    </w:p>
    <w:p>
      <w:pPr>
        <w:spacing w:line="276" w:lineRule="auto"/>
        <w:ind w:firstLine="709"/>
        <w:rPr>
          <w:sz w:val="24"/>
          <w:szCs w:val="24"/>
        </w:rPr>
      </w:pPr>
      <w:r>
        <w:rPr>
          <w:color w:val="000000"/>
        </w:rPr>
        <w:t xml:space="preserve">- </w:t>
      </w:r>
      <w:r>
        <w:rPr>
          <w:color w:val="000000"/>
        </w:rPr>
        <w:t xml:space="preserve">Нижневартовский</w:t>
      </w:r>
      <w:r>
        <w:rPr>
          <w:color w:val="000000"/>
        </w:rPr>
        <w:t xml:space="preserve"> район – на 100,0% с 2-х до 0 случаев, при перерасчете на 100 тыс. населения: 2024 год – 5,2;</w:t>
      </w:r>
      <w:r>
        <w:rPr>
          <w:sz w:val="24"/>
          <w:szCs w:val="24"/>
        </w:rPr>
      </w:r>
    </w:p>
    <w:p>
      <w:pPr>
        <w:spacing w:line="276" w:lineRule="auto"/>
        <w:ind w:firstLine="709"/>
        <w:rPr>
          <w:sz w:val="24"/>
          <w:szCs w:val="24"/>
        </w:rPr>
      </w:pPr>
      <w:r>
        <w:rPr>
          <w:color w:val="000000"/>
        </w:rPr>
        <w:t xml:space="preserve">- Сургутский район – на 9,5% с 11-ти до 10-ти новых случаев, при перерасчете на 100 тыс. населения: 2025 год – 7,6 и 2024 год – 8,4;</w:t>
      </w:r>
      <w:r>
        <w:rPr>
          <w:sz w:val="24"/>
          <w:szCs w:val="24"/>
        </w:rPr>
      </w:r>
    </w:p>
    <w:p>
      <w:pPr>
        <w:spacing w:line="276" w:lineRule="auto"/>
        <w:ind w:firstLine="709"/>
        <w:rPr>
          <w:sz w:val="24"/>
          <w:szCs w:val="24"/>
        </w:rPr>
      </w:pPr>
      <w:r>
        <w:rPr>
          <w:color w:val="000000"/>
        </w:rPr>
        <w:t xml:space="preserve">- г. Ханты-Мансийск – на 8,1% с 14-ти до 13-ти новых случаев, при перерасчете на 100 тыс. населения: 2025 год – 11,4 и 2024 год – 12,4.</w:t>
      </w:r>
      <w:r>
        <w:rPr>
          <w:sz w:val="24"/>
          <w:szCs w:val="24"/>
        </w:rPr>
      </w:r>
    </w:p>
    <w:p>
      <w:pPr>
        <w:spacing w:line="276" w:lineRule="auto"/>
        <w:ind w:firstLine="709"/>
        <w:rPr>
          <w:sz w:val="24"/>
          <w:szCs w:val="24"/>
        </w:rPr>
      </w:pPr>
      <w:r>
        <w:rPr>
          <w:color w:val="000000"/>
        </w:rPr>
        <w:t xml:space="preserve">В структуре первичной заболеваемости наркоманией за 2025 год, также как в 2024 году, несовершеннолетних зарегистрировано не было.</w:t>
      </w:r>
      <w:r>
        <w:rPr>
          <w:sz w:val="24"/>
          <w:szCs w:val="24"/>
        </w:rPr>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b/>
          <w:bCs/>
          <w:i/>
          <w:iCs/>
          <w:color w:val="000000"/>
        </w:rPr>
        <w:t xml:space="preserve">Анализ динамики общей распространённости пагубного употребления наркотиков</w:t>
      </w:r>
      <w:r>
        <w:rPr>
          <w:sz w:val="24"/>
          <w:szCs w:val="24"/>
        </w:rPr>
      </w:r>
    </w:p>
    <w:p>
      <w:pPr>
        <w:spacing w:line="276" w:lineRule="auto"/>
        <w:ind w:firstLine="709"/>
        <w:rPr>
          <w:sz w:val="24"/>
          <w:szCs w:val="24"/>
        </w:rPr>
      </w:pPr>
      <w:r>
        <w:rPr>
          <w:sz w:val="24"/>
          <w:szCs w:val="24"/>
        </w:rPr>
        <w:t xml:space="preserve"> </w:t>
      </w:r>
      <w:r>
        <w:rPr>
          <w:color w:val="000000"/>
        </w:rPr>
        <w:t xml:space="preserve">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w:t>
      </w:r>
      <w:r>
        <w:t xml:space="preserve">составило в 2025 году 812 человек, или 45,6 на 100 тысяч населения</w:t>
      </w:r>
      <w:r>
        <w:rPr>
          <w:color w:val="000000"/>
        </w:rPr>
        <w:t xml:space="preserve">. В 2024 году таких было зарегистрировано 843 человека, или 47,6 на 100 тысяч населения. Сокращение прои</w:t>
      </w:r>
      <w:r>
        <w:rPr>
          <w:color w:val="000000"/>
        </w:rPr>
        <w:t xml:space="preserve">зошло на 4,2% (рис. 5). Для сравнения, показатель общей заболеваемости пагубного употребления наркотиков в Российской Федерации за 2024 год составлял 105,9 на 100 тысяч населения, по Уральскому Федеральному округу в 2024 году – 91,6 на 100 тысяч населения.</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2781300"/>
                <wp:effectExtent l="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6"/>
                        <a:stretch/>
                      </pic:blipFill>
                      <pic:spPr bwMode="auto">
                        <a:xfrm>
                          <a:off x="0" y="0"/>
                          <a:ext cx="5953125" cy="2781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8pt;height:219.0pt;mso-wrap-distance-left:0.0pt;mso-wrap-distance-top:0.0pt;mso-wrap-distance-right:0.0pt;mso-wrap-distance-bottom:0.0pt;" stroked="f">
                <v:path textboxrect="0,0,0,0"/>
                <v:imagedata r:id="rId26" o:title=""/>
              </v:shape>
            </w:pict>
          </mc:Fallback>
        </mc:AlternateContent>
      </w:r>
      <w:r>
        <w:rPr>
          <w:sz w:val="24"/>
          <w:szCs w:val="24"/>
        </w:rPr>
      </w:r>
    </w:p>
    <w:p>
      <w:pPr>
        <w:spacing w:line="240" w:lineRule="auto"/>
        <w:ind w:firstLine="0"/>
        <w:jc w:val="center"/>
      </w:pPr>
      <w:r>
        <w:rPr>
          <w:bCs/>
          <w:color w:val="000000"/>
        </w:rPr>
        <w:t xml:space="preserve">Рис.5. Динамика показателя общей распространенности пагубного употребления наркотиков в 2020-2025 гг. в автономном округе </w:t>
      </w:r>
      <w:r>
        <w:rPr>
          <w:bCs/>
          <w:color w:val="000000"/>
        </w:rPr>
        <w:br/>
        <w:t xml:space="preserve">(на 100 тысяч населения)</w:t>
      </w:r>
    </w:p>
    <w:p>
      <w:pPr>
        <w:spacing w:line="276" w:lineRule="auto"/>
        <w:ind w:firstLine="709"/>
      </w:pPr>
      <w:r>
        <w:t xml:space="preserve"> </w:t>
      </w:r>
    </w:p>
    <w:p>
      <w:pPr>
        <w:spacing w:line="276" w:lineRule="auto"/>
        <w:ind w:firstLine="709"/>
        <w:rPr>
          <w:color w:val="000000"/>
        </w:rPr>
      </w:pPr>
      <w:r>
        <w:rPr>
          <w:color w:val="000000"/>
        </w:rPr>
        <w:t xml:space="preserve">В разрезе муниципальных образований (рис. 6) уровень болезненности пагубного употребления наркотиков в 2025 году имеет тенденцию к увеличению на территории: </w:t>
      </w:r>
      <w:r>
        <w:rPr>
          <w:color w:val="000000"/>
        </w:rPr>
      </w:r>
    </w:p>
    <w:p>
      <w:pPr>
        <w:spacing w:line="276" w:lineRule="auto"/>
        <w:ind w:firstLine="709"/>
        <w:rPr>
          <w:color w:val="000000"/>
        </w:rPr>
      </w:pPr>
      <w:r>
        <w:rPr>
          <w:color w:val="000000"/>
        </w:rPr>
        <w:t xml:space="preserve">- г. Нижневартовск (увеличение на 1,6%), значение показателя составило 98,6 на 100 тысяч населения (</w:t>
      </w:r>
      <w:r>
        <w:rPr>
          <w:color w:val="000000"/>
        </w:rPr>
        <w:t xml:space="preserve">абс</w:t>
      </w:r>
      <w:r>
        <w:rPr>
          <w:color w:val="000000"/>
        </w:rPr>
        <w:t xml:space="preserve">. 289; в 2024 г. – 97,0 на 100 тысяч населения, </w:t>
      </w:r>
      <w:r>
        <w:rPr>
          <w:color w:val="000000"/>
        </w:rPr>
        <w:t xml:space="preserve">абс</w:t>
      </w:r>
      <w:r>
        <w:rPr>
          <w:color w:val="000000"/>
        </w:rPr>
        <w:t xml:space="preserve">. 283); </w:t>
      </w:r>
      <w:r>
        <w:rPr>
          <w:color w:val="000000"/>
        </w:rPr>
      </w:r>
    </w:p>
    <w:p>
      <w:pPr>
        <w:spacing w:line="276" w:lineRule="auto"/>
        <w:ind w:firstLine="709"/>
        <w:rPr>
          <w:color w:val="000000"/>
        </w:rPr>
      </w:pPr>
      <w:r>
        <w:rPr>
          <w:color w:val="000000"/>
        </w:rPr>
        <w:t xml:space="preserve">- г. Сургут (увеличение на 1,6%), 37,9 на 100 тысяч населения (</w:t>
      </w:r>
      <w:r>
        <w:rPr>
          <w:color w:val="000000"/>
        </w:rPr>
        <w:t xml:space="preserve">абс</w:t>
      </w:r>
      <w:r>
        <w:rPr>
          <w:color w:val="000000"/>
        </w:rPr>
        <w:t xml:space="preserve">. 164; в 2024 г. – 37,3 на 100 тысяч населения, </w:t>
      </w:r>
      <w:r>
        <w:rPr>
          <w:color w:val="000000"/>
        </w:rPr>
        <w:t xml:space="preserve">абс</w:t>
      </w:r>
      <w:r>
        <w:rPr>
          <w:color w:val="000000"/>
        </w:rPr>
        <w:t xml:space="preserve">. 159); </w:t>
      </w:r>
      <w:r>
        <w:rPr>
          <w:color w:val="000000"/>
        </w:rPr>
      </w:r>
    </w:p>
    <w:p>
      <w:pPr>
        <w:spacing w:line="276" w:lineRule="auto"/>
        <w:ind w:firstLine="709"/>
        <w:rPr>
          <w:color w:val="000000"/>
        </w:rPr>
      </w:pPr>
      <w:r>
        <w:rPr>
          <w:color w:val="000000"/>
        </w:rPr>
        <w:t xml:space="preserve">- </w:t>
      </w:r>
      <w:r>
        <w:rPr>
          <w:color w:val="000000"/>
        </w:rPr>
        <w:t xml:space="preserve">Кондинский</w:t>
      </w:r>
      <w:r>
        <w:rPr>
          <w:color w:val="000000"/>
        </w:rPr>
        <w:t xml:space="preserve"> район (увеличение на 44,8%), 43,0 на 100 тысяч населения (</w:t>
      </w:r>
      <w:r>
        <w:rPr>
          <w:color w:val="000000"/>
        </w:rPr>
        <w:t xml:space="preserve">абс</w:t>
      </w:r>
      <w:r>
        <w:rPr>
          <w:color w:val="000000"/>
        </w:rPr>
        <w:t xml:space="preserve">. 13; в 2024 г. – 29,7 на 100 тысяч населения, </w:t>
      </w:r>
      <w:r>
        <w:rPr>
          <w:color w:val="000000"/>
        </w:rPr>
        <w:t xml:space="preserve">абс</w:t>
      </w:r>
      <w:r>
        <w:rPr>
          <w:color w:val="000000"/>
        </w:rPr>
        <w:t xml:space="preserve">. 9); </w:t>
      </w:r>
      <w:r>
        <w:rPr>
          <w:color w:val="000000"/>
        </w:rPr>
      </w:r>
    </w:p>
    <w:p>
      <w:pPr>
        <w:spacing w:line="276" w:lineRule="auto"/>
        <w:ind w:firstLine="709"/>
        <w:rPr>
          <w:color w:val="000000"/>
        </w:rPr>
      </w:pPr>
      <w:r>
        <w:rPr>
          <w:color w:val="000000"/>
        </w:rPr>
        <w:t xml:space="preserve">- Сургутский район (увеличение на 6,0%), 49,5 на 100 тысяч населения (</w:t>
      </w:r>
      <w:r>
        <w:rPr>
          <w:color w:val="000000"/>
        </w:rPr>
        <w:t xml:space="preserve">абс</w:t>
      </w:r>
      <w:r>
        <w:rPr>
          <w:color w:val="000000"/>
        </w:rPr>
        <w:t xml:space="preserve">. 65; в 2024 г. – 46,7 на 100 тысяч населения, </w:t>
      </w:r>
      <w:r>
        <w:rPr>
          <w:color w:val="000000"/>
        </w:rPr>
        <w:t xml:space="preserve">абс</w:t>
      </w:r>
      <w:r>
        <w:rPr>
          <w:color w:val="000000"/>
        </w:rPr>
        <w:t xml:space="preserve">. 61); </w:t>
      </w:r>
      <w:r>
        <w:rPr>
          <w:color w:val="000000"/>
        </w:rPr>
      </w:r>
    </w:p>
    <w:p>
      <w:pPr>
        <w:spacing w:line="276" w:lineRule="auto"/>
        <w:ind w:firstLine="709"/>
        <w:rPr>
          <w:color w:val="000000"/>
        </w:rPr>
      </w:pPr>
      <w:r>
        <w:rPr>
          <w:color w:val="000000"/>
        </w:rPr>
        <w:t xml:space="preserve">- г. Ханты-Мансийск (увеличение на 12,3%), 22,9 на 100 тысяч населения (</w:t>
      </w:r>
      <w:r>
        <w:rPr>
          <w:color w:val="000000"/>
        </w:rPr>
        <w:t xml:space="preserve">абс</w:t>
      </w:r>
      <w:r>
        <w:rPr>
          <w:color w:val="000000"/>
        </w:rPr>
        <w:t xml:space="preserve">. 26; в 2024 г. – 20,4 на 100 тысяч населения, </w:t>
      </w:r>
      <w:r>
        <w:rPr>
          <w:color w:val="000000"/>
        </w:rPr>
        <w:t xml:space="preserve">абс</w:t>
      </w:r>
      <w:r>
        <w:rPr>
          <w:color w:val="000000"/>
        </w:rPr>
        <w:t xml:space="preserve">. 23); </w:t>
      </w:r>
      <w:r>
        <w:rPr>
          <w:color w:val="000000"/>
        </w:rPr>
      </w:r>
    </w:p>
    <w:p>
      <w:pPr>
        <w:spacing w:line="276" w:lineRule="auto"/>
        <w:ind w:firstLine="709"/>
        <w:rPr>
          <w:color w:val="000000"/>
        </w:rPr>
      </w:pPr>
      <w:r>
        <w:rPr>
          <w:color w:val="000000"/>
        </w:rPr>
        <w:t xml:space="preserve">- г. </w:t>
      </w:r>
      <w:r>
        <w:rPr>
          <w:color w:val="000000"/>
        </w:rPr>
        <w:t xml:space="preserve">Мегион</w:t>
      </w:r>
      <w:r>
        <w:rPr>
          <w:color w:val="000000"/>
        </w:rPr>
        <w:t xml:space="preserve"> (увеличение на 6,0%), 60,3 на 100 тысяч населения (</w:t>
      </w:r>
      <w:r>
        <w:rPr>
          <w:color w:val="000000"/>
        </w:rPr>
        <w:t xml:space="preserve">абс</w:t>
      </w:r>
      <w:r>
        <w:rPr>
          <w:color w:val="000000"/>
        </w:rPr>
        <w:t xml:space="preserve">. 26; в 2024 г. – 56,9 на 100 тысяч населения, </w:t>
      </w:r>
      <w:r>
        <w:rPr>
          <w:color w:val="000000"/>
        </w:rPr>
        <w:t xml:space="preserve">абс</w:t>
      </w:r>
      <w:r>
        <w:rPr>
          <w:color w:val="000000"/>
        </w:rPr>
        <w:t xml:space="preserve">. 34); </w:t>
      </w:r>
      <w:r>
        <w:rPr>
          <w:color w:val="000000"/>
        </w:rPr>
      </w:r>
    </w:p>
    <w:p>
      <w:pPr>
        <w:spacing w:line="276" w:lineRule="auto"/>
        <w:ind w:firstLine="709"/>
        <w:rPr>
          <w:color w:val="000000"/>
        </w:rPr>
      </w:pPr>
      <w:r>
        <w:rPr>
          <w:color w:val="000000"/>
        </w:rPr>
        <w:t xml:space="preserve">- Березовский район – с 0 до 1 случая, что составило 4,4 на 100 тысяч населения; </w:t>
      </w:r>
      <w:r>
        <w:rPr>
          <w:color w:val="000000"/>
        </w:rPr>
      </w:r>
    </w:p>
    <w:p>
      <w:pPr>
        <w:spacing w:line="276" w:lineRule="auto"/>
        <w:ind w:firstLine="709"/>
        <w:rPr>
          <w:color w:val="000000"/>
        </w:rPr>
      </w:pPr>
      <w:r>
        <w:rPr>
          <w:color w:val="000000"/>
        </w:rPr>
        <w:t xml:space="preserve">- </w:t>
      </w:r>
      <w:r>
        <w:rPr>
          <w:color w:val="000000"/>
        </w:rPr>
        <w:t xml:space="preserve">Нефтеюганский</w:t>
      </w:r>
      <w:r>
        <w:rPr>
          <w:color w:val="000000"/>
        </w:rPr>
        <w:t xml:space="preserve"> район (увеличение на 12,5%), 18,9 на 100 тысяч населения (</w:t>
      </w:r>
      <w:r>
        <w:rPr>
          <w:color w:val="000000"/>
        </w:rPr>
        <w:t xml:space="preserve">абс</w:t>
      </w:r>
      <w:r>
        <w:rPr>
          <w:color w:val="000000"/>
        </w:rPr>
        <w:t xml:space="preserve">. 9; в 2024 г. – 16,8 на 100 тысяч населения, </w:t>
      </w:r>
      <w:r>
        <w:rPr>
          <w:color w:val="000000"/>
        </w:rPr>
        <w:t xml:space="preserve">абс</w:t>
      </w:r>
      <w:r>
        <w:rPr>
          <w:color w:val="000000"/>
        </w:rPr>
        <w:t xml:space="preserve">. 8);</w:t>
      </w:r>
      <w:r>
        <w:rPr>
          <w:color w:val="000000"/>
        </w:rPr>
      </w:r>
    </w:p>
    <w:p>
      <w:pPr>
        <w:spacing w:line="276" w:lineRule="auto"/>
        <w:ind w:firstLine="709"/>
      </w:pPr>
      <w:r>
        <w:rPr>
          <w:color w:val="000000"/>
        </w:rPr>
        <w:t xml:space="preserve">- Ханты-Мансийский район (увеличение на 13,9%), 41,8 на 100 тысяч населения (</w:t>
      </w:r>
      <w:r>
        <w:rPr>
          <w:color w:val="000000"/>
        </w:rPr>
        <w:t xml:space="preserve">абс</w:t>
      </w:r>
      <w:r>
        <w:rPr>
          <w:color w:val="000000"/>
        </w:rPr>
        <w:t xml:space="preserve">. 8; в 2024 г. – 36,7 на 100 тысяч населения, </w:t>
      </w:r>
      <w:r>
        <w:rPr>
          <w:color w:val="000000"/>
        </w:rPr>
        <w:t xml:space="preserve">абс</w:t>
      </w:r>
      <w:r>
        <w:rPr>
          <w:color w:val="000000"/>
        </w:rPr>
        <w:t xml:space="preserve">. 7).</w:t>
      </w:r>
    </w:p>
    <w:p>
      <w:pPr>
        <w:spacing w:line="276" w:lineRule="auto"/>
        <w:ind w:firstLine="709"/>
        <w:rPr>
          <w:color w:val="000000"/>
        </w:rPr>
      </w:pPr>
      <w:r>
        <w:rPr>
          <w:color w:val="000000"/>
        </w:rPr>
        <w:t xml:space="preserve">В связи с изменением численности населения, при сохранении числа зарегистриров</w:t>
      </w:r>
      <w:r>
        <w:rPr>
          <w:color w:val="000000"/>
        </w:rPr>
        <w:t xml:space="preserve">анных лиц с пагубным употреблением наркотиков на уровне 2024 года в Белоярском районе отмечается увеличение показателя болезненности пагубным употреблением наркотиков на 1,4% (в 2025 г. – 7,1 на 100 тысяч населения, в 2024 г. – 7,0 на 100 тысяч населения, </w:t>
      </w:r>
      <w:r>
        <w:rPr>
          <w:color w:val="000000"/>
        </w:rPr>
        <w:t xml:space="preserve">абс</w:t>
      </w:r>
      <w:r>
        <w:rPr>
          <w:color w:val="000000"/>
        </w:rPr>
        <w:t xml:space="preserve">. 2). </w:t>
      </w:r>
      <w:r>
        <w:rPr>
          <w:color w:val="000000"/>
        </w:rPr>
        <w:br/>
        <w:t xml:space="preserve">В Советском районе, наоборот, зафиксировано уменьшение показателя на 0,3% (в 2025 г. – 34,2 на 100 тысяч населения, в 2024 г. – 34,3 на 100 тысяч населения, </w:t>
      </w:r>
      <w:r>
        <w:rPr>
          <w:color w:val="000000"/>
        </w:rPr>
        <w:t xml:space="preserve">абс</w:t>
      </w:r>
      <w:r>
        <w:rPr>
          <w:color w:val="000000"/>
        </w:rPr>
        <w:t xml:space="preserve">. 16). В г. Нефтеюганск, Нижневартовском и Октябрьском районах сохраняется болезненность пагубным употреблением наркотиков на уровне 2024 года (8,6 на 100 тысяч населения, </w:t>
      </w:r>
      <w:r>
        <w:rPr>
          <w:color w:val="000000"/>
        </w:rPr>
        <w:t xml:space="preserve">абс</w:t>
      </w:r>
      <w:r>
        <w:rPr>
          <w:color w:val="000000"/>
        </w:rPr>
        <w:t xml:space="preserve">. 11 для Нефтеюганска, 2,6 на 100 тысяч населения, </w:t>
      </w:r>
      <w:r>
        <w:rPr>
          <w:color w:val="000000"/>
        </w:rPr>
        <w:t xml:space="preserve">абс</w:t>
      </w:r>
      <w:r>
        <w:rPr>
          <w:color w:val="000000"/>
        </w:rPr>
        <w:t xml:space="preserve">. 1 для Нижневартовского района и 9,4 на 100 тысяч населения, </w:t>
      </w:r>
      <w:r>
        <w:rPr>
          <w:color w:val="000000"/>
        </w:rPr>
        <w:t xml:space="preserve">абс</w:t>
      </w:r>
      <w:r>
        <w:rPr>
          <w:color w:val="000000"/>
        </w:rPr>
        <w:t xml:space="preserve">. 3 для Октябрьского района). В других муниципальных образованиях автономного округа отмечается снижение уровня общей распространенности пагубного употребления наркотиков.</w:t>
      </w:r>
      <w:r>
        <w:rPr>
          <w:color w:val="000000"/>
        </w:rPr>
      </w:r>
    </w:p>
    <w:p>
      <w:pPr>
        <w:spacing w:line="240" w:lineRule="auto"/>
        <w:ind w:firstLine="0"/>
        <w:jc w:val="center"/>
        <w:rPr>
          <w:sz w:val="24"/>
          <w:szCs w:val="24"/>
        </w:rPr>
      </w:pPr>
      <w:r>
        <mc:AlternateContent>
          <mc:Choice Requires="wpg">
            <w:drawing>
              <wp:inline xmlns:wp="http://schemas.openxmlformats.org/drawingml/2006/wordprocessingDrawing" distT="0" distB="0" distL="0" distR="0">
                <wp:extent cx="5594764" cy="3273270"/>
                <wp:effectExtent l="6350" t="6350" r="6350" b="635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5434" name="Picture 5"/>
                        <pic:cNvPicPr>
                          <a:picLocks noChangeAspect="1"/>
                        </pic:cNvPicPr>
                        <pic:nvPr/>
                      </pic:nvPicPr>
                      <pic:blipFill>
                        <a:blip r:embed="rId27"/>
                        <a:stretch/>
                      </pic:blipFill>
                      <pic:spPr bwMode="auto">
                        <a:xfrm flipH="0" flipV="0">
                          <a:off x="0" y="0"/>
                          <a:ext cx="5594763" cy="32732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40.5pt;height:257.7pt;mso-wrap-distance-left:0.0pt;mso-wrap-distance-top:0.0pt;mso-wrap-distance-right:0.0pt;mso-wrap-distance-bottom:0.0pt;" stroked="f">
                <v:path textboxrect="0,0,0,0"/>
                <v:imagedata r:id="rId27" o:title=""/>
              </v:shape>
            </w:pict>
          </mc:Fallback>
        </mc:AlternateContent>
      </w:r>
      <w:r>
        <w:rPr>
          <w:sz w:val="24"/>
          <w:szCs w:val="24"/>
        </w:rPr>
      </w:r>
    </w:p>
    <w:p>
      <w:pPr>
        <w:spacing w:line="240" w:lineRule="auto"/>
        <w:ind w:firstLine="0"/>
        <w:jc w:val="center"/>
      </w:pPr>
      <w:r>
        <w:rPr>
          <w:bCs/>
          <w:color w:val="000000"/>
        </w:rPr>
        <w:t xml:space="preserve">Рис. 6. Общая распространенность пагубного употребления наркотиков </w:t>
      </w:r>
      <w:r>
        <w:rPr>
          <w:bCs/>
          <w:color w:val="000000"/>
        </w:rPr>
        <w:br/>
        <w:t xml:space="preserve"> в 2024-2025 гг. в разрезе муниципальных образований </w:t>
      </w:r>
      <w:r>
        <w:rPr>
          <w:bCs/>
          <w:color w:val="000000"/>
        </w:rPr>
        <w:br/>
        <w:t xml:space="preserve"> автономного округа (на 100 тысяч населения)</w:t>
      </w:r>
    </w:p>
    <w:p>
      <w:pPr>
        <w:spacing w:line="271" w:lineRule="auto"/>
        <w:ind w:firstLine="709"/>
        <w:rPr>
          <w:sz w:val="24"/>
          <w:szCs w:val="24"/>
        </w:rPr>
      </w:pPr>
      <w:r>
        <w:rPr>
          <w:sz w:val="24"/>
          <w:szCs w:val="24"/>
        </w:rPr>
        <w:t xml:space="preserve"> </w:t>
      </w:r>
      <w:r>
        <w:rPr>
          <w:sz w:val="24"/>
          <w:szCs w:val="24"/>
        </w:rPr>
      </w:r>
    </w:p>
    <w:p>
      <w:pPr>
        <w:pStyle w:val="1624"/>
        <w:spacing w:after="0" w:line="276" w:lineRule="auto"/>
        <w:ind w:firstLine="709"/>
        <w:jc w:val="both"/>
        <w:rPr>
          <w:sz w:val="28"/>
          <w:szCs w:val="28"/>
        </w:rPr>
      </w:pPr>
      <w:r>
        <w:rPr>
          <w:sz w:val="28"/>
          <w:szCs w:val="28"/>
        </w:rPr>
        <w:t xml:space="preserve">В тоже время отмечается превышение уровня окружного показателя болезненности пагубным употреблением наркотиков в г. Нижневартовске в 2,2 раза и составляет 98,6 на 100 тысяч населения (</w:t>
      </w:r>
      <w:r>
        <w:rPr>
          <w:sz w:val="28"/>
          <w:szCs w:val="28"/>
        </w:rPr>
        <w:t xml:space="preserve">абс</w:t>
      </w:r>
      <w:r>
        <w:rPr>
          <w:sz w:val="28"/>
          <w:szCs w:val="28"/>
        </w:rPr>
        <w:t xml:space="preserve">. 289); в г. </w:t>
      </w:r>
      <w:r>
        <w:rPr>
          <w:sz w:val="28"/>
          <w:szCs w:val="28"/>
        </w:rPr>
        <w:t xml:space="preserve">Пыть-Яхе</w:t>
      </w:r>
      <w:r>
        <w:rPr>
          <w:sz w:val="28"/>
          <w:szCs w:val="28"/>
        </w:rPr>
        <w:t xml:space="preserve"> в 2,1 раза и составляет 97,1 на 100 тысяч населения (</w:t>
      </w:r>
      <w:r>
        <w:rPr>
          <w:sz w:val="28"/>
          <w:szCs w:val="28"/>
        </w:rPr>
        <w:t xml:space="preserve">абс</w:t>
      </w:r>
      <w:r>
        <w:rPr>
          <w:sz w:val="28"/>
          <w:szCs w:val="28"/>
        </w:rPr>
        <w:t xml:space="preserve">. 40); в г. </w:t>
      </w:r>
      <w:r>
        <w:rPr>
          <w:sz w:val="28"/>
          <w:szCs w:val="28"/>
        </w:rPr>
        <w:t xml:space="preserve">Нягани</w:t>
      </w:r>
      <w:r>
        <w:rPr>
          <w:sz w:val="28"/>
          <w:szCs w:val="28"/>
        </w:rPr>
        <w:t xml:space="preserve"> в 1,8 раза и составляет 83,2 на 100 тысяч населения (</w:t>
      </w:r>
      <w:r>
        <w:rPr>
          <w:sz w:val="28"/>
          <w:szCs w:val="28"/>
        </w:rPr>
        <w:t xml:space="preserve">абс</w:t>
      </w:r>
      <w:r>
        <w:rPr>
          <w:sz w:val="28"/>
          <w:szCs w:val="28"/>
        </w:rPr>
        <w:t xml:space="preserve">. 53), а также в г. </w:t>
      </w:r>
      <w:r>
        <w:rPr>
          <w:sz w:val="28"/>
          <w:szCs w:val="28"/>
        </w:rPr>
        <w:t xml:space="preserve">Мегионе</w:t>
      </w:r>
      <w:r>
        <w:rPr>
          <w:sz w:val="28"/>
          <w:szCs w:val="28"/>
        </w:rPr>
        <w:t xml:space="preserve"> (на 32,2%) и Сургутском районе (на 8,6%).</w:t>
      </w:r>
      <w:r>
        <w:rPr>
          <w:sz w:val="28"/>
          <w:szCs w:val="28"/>
        </w:rPr>
      </w:r>
    </w:p>
    <w:p>
      <w:pPr>
        <w:spacing w:line="271" w:lineRule="auto"/>
        <w:ind w:firstLine="709"/>
        <w:rPr>
          <w:sz w:val="24"/>
          <w:szCs w:val="24"/>
        </w:rPr>
      </w:pPr>
      <w:r>
        <w:t xml:space="preserve">Общая распространенность пагубного употребления наркотиков среди несовершеннолетних в 2025 году составила 7,5 на 100 тысяч несовершеннолетних (</w:t>
      </w:r>
      <w:r>
        <w:t xml:space="preserve">абс</w:t>
      </w:r>
      <w:r>
        <w:t xml:space="preserve">. 33), что на 63,0 % выше, чем в 2024 году – 4,6 на 100 тысяч несовершеннолетних, или 20 несовершеннолетних </w:t>
      </w:r>
      <w:r>
        <w:rPr>
          <w:color w:val="000000"/>
        </w:rPr>
        <w:t xml:space="preserve">(рис. 7).</w:t>
      </w:r>
      <w:r>
        <w:rPr>
          <w:sz w:val="24"/>
          <w:szCs w:val="24"/>
        </w:rPr>
      </w:r>
    </w:p>
    <w:p>
      <w:pPr>
        <w:spacing w:line="276" w:lineRule="auto"/>
        <w:ind w:firstLine="709"/>
        <w:rPr>
          <w:sz w:val="24"/>
          <w:szCs w:val="24"/>
        </w:rPr>
      </w:pPr>
      <w:r>
        <w:rPr>
          <w:color w:val="000000"/>
        </w:rPr>
        <w:t xml:space="preserve">В соответствии с Порядком диспансерного наблюдения</w:t>
      </w:r>
      <w:r>
        <w:rPr>
          <w:color w:val="000000"/>
          <w:vertAlign w:val="superscript"/>
        </w:rPr>
        <w:footnoteReference w:id="32"/>
      </w:r>
      <w:r>
        <w:rPr>
          <w:color w:val="000000"/>
        </w:rPr>
        <w:t xml:space="preserve">, в течение 2025 года оно осуществлялось в отношении 19 несовершеннолетних из числа зарегистрированных с пагубн</w:t>
      </w:r>
      <w:r>
        <w:rPr>
          <w:color w:val="000000"/>
        </w:rPr>
        <w:t xml:space="preserve">ым употреблением наркотических средств в отчетном году (55,9%), в 2024 году – 80,0% (16 из 20 человек). Остальные несовершеннолетние из числа зарегистрированных были сняты в течение 2025 года с диспансерного наблюдения в связи с прекращением диспансерного </w:t>
      </w:r>
      <w:r>
        <w:rPr>
          <w:color w:val="000000"/>
        </w:rPr>
        <w:t xml:space="preserve">наблюдения, либо были переведены во взрослую группу наблюдения в связи с достижением совершеннолетия.</w:t>
      </w:r>
      <w:r>
        <w:rPr>
          <w:sz w:val="24"/>
          <w:szCs w:val="24"/>
        </w:rPr>
      </w:r>
    </w:p>
    <w:p>
      <w:pPr>
        <w:pStyle w:val="1624"/>
        <w:spacing w:after="0" w:line="276" w:lineRule="auto"/>
        <w:ind w:firstLine="709"/>
        <w:jc w:val="both"/>
        <w:rPr>
          <w:sz w:val="28"/>
          <w:szCs w:val="28"/>
        </w:rPr>
      </w:pPr>
      <w:r>
        <w:rPr>
          <w:sz w:val="28"/>
          <w:szCs w:val="28"/>
        </w:rPr>
        <w:t xml:space="preserve">В разрезе муниципальных образований увеличение показателя распространенности пагубного употребления наркотиков среди несовершеннолетних зарегистрировано в трех муниципальных образованиях:</w:t>
      </w:r>
      <w:r>
        <w:rPr>
          <w:sz w:val="28"/>
          <w:szCs w:val="28"/>
        </w:rPr>
      </w:r>
    </w:p>
    <w:p>
      <w:pPr>
        <w:pStyle w:val="1624"/>
        <w:spacing w:after="0" w:line="276" w:lineRule="auto"/>
        <w:ind w:firstLine="709"/>
        <w:jc w:val="both"/>
        <w:rPr>
          <w:sz w:val="28"/>
          <w:szCs w:val="28"/>
        </w:rPr>
      </w:pPr>
      <w:r>
        <w:rPr>
          <w:sz w:val="28"/>
          <w:szCs w:val="28"/>
        </w:rPr>
        <w:t xml:space="preserve">- г. Сургуте </w:t>
      </w:r>
      <w:r>
        <w:rPr>
          <w:color w:val="000000"/>
          <w:sz w:val="28"/>
          <w:szCs w:val="28"/>
        </w:rPr>
        <w:t xml:space="preserve">с 9 до 15 случаев, на 63,2% (с 8,7 до 14,2 на 100 тысяч несовершеннолетних);</w:t>
      </w:r>
      <w:r>
        <w:rPr>
          <w:sz w:val="28"/>
          <w:szCs w:val="28"/>
        </w:rPr>
      </w:r>
    </w:p>
    <w:p>
      <w:pPr>
        <w:pStyle w:val="1624"/>
        <w:spacing w:after="0" w:line="276" w:lineRule="auto"/>
        <w:ind w:firstLine="709"/>
        <w:jc w:val="both"/>
        <w:rPr>
          <w:sz w:val="28"/>
          <w:szCs w:val="28"/>
        </w:rPr>
      </w:pPr>
      <w:r>
        <w:rPr>
          <w:sz w:val="28"/>
          <w:szCs w:val="28"/>
        </w:rPr>
        <w:t xml:space="preserve">- г. Нижневартовске </w:t>
      </w:r>
      <w:r>
        <w:rPr>
          <w:color w:val="000000"/>
          <w:sz w:val="28"/>
          <w:szCs w:val="28"/>
        </w:rPr>
        <w:t xml:space="preserve">с 1 до 5 случаев (с 1,5 до 7,6 на 100 тысяч несовершеннолетних);</w:t>
      </w:r>
      <w:r>
        <w:rPr>
          <w:sz w:val="28"/>
          <w:szCs w:val="28"/>
        </w:rPr>
      </w:r>
    </w:p>
    <w:p>
      <w:pPr>
        <w:pStyle w:val="1624"/>
        <w:spacing w:after="0" w:line="276" w:lineRule="auto"/>
        <w:ind w:firstLine="709"/>
        <w:jc w:val="both"/>
        <w:rPr>
          <w:sz w:val="28"/>
          <w:szCs w:val="28"/>
        </w:rPr>
      </w:pPr>
      <w:r>
        <w:rPr>
          <w:sz w:val="28"/>
          <w:szCs w:val="28"/>
        </w:rPr>
        <w:t xml:space="preserve">- Сургутском районе </w:t>
      </w:r>
      <w:r>
        <w:rPr>
          <w:color w:val="000000"/>
          <w:sz w:val="28"/>
          <w:szCs w:val="28"/>
        </w:rPr>
        <w:t xml:space="preserve">с 4 до 7 случаев (с 11,0 до 19,1 на 100 тысяч несовершеннолетних).</w:t>
      </w:r>
      <w:r>
        <w:rPr>
          <w:sz w:val="28"/>
          <w:szCs w:val="28"/>
        </w:rPr>
      </w:r>
    </w:p>
    <w:p>
      <w:pPr>
        <w:spacing w:line="240" w:lineRule="auto"/>
        <w:ind w:firstLine="0"/>
        <w:jc w:val="center"/>
        <w:rPr>
          <w:sz w:val="24"/>
          <w:szCs w:val="24"/>
        </w:rPr>
      </w:pPr>
      <w:r>
        <mc:AlternateContent>
          <mc:Choice Requires="wpg">
            <w:drawing>
              <wp:inline xmlns:wp="http://schemas.openxmlformats.org/drawingml/2006/wordprocessingDrawing" distT="0" distB="0" distL="0" distR="0">
                <wp:extent cx="5939790" cy="2722245"/>
                <wp:effectExtent l="0" t="0" r="3810" b="190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8"/>
                        <a:stretch/>
                      </pic:blipFill>
                      <pic:spPr bwMode="auto">
                        <a:xfrm>
                          <a:off x="0" y="0"/>
                          <a:ext cx="5939790" cy="27222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7.7pt;height:214.3pt;mso-wrap-distance-left:0.0pt;mso-wrap-distance-top:0.0pt;mso-wrap-distance-right:0.0pt;mso-wrap-distance-bottom:0.0pt;" stroked="f">
                <v:path textboxrect="0,0,0,0"/>
                <v:imagedata r:id="rId28" o:title=""/>
              </v:shape>
            </w:pict>
          </mc:Fallback>
        </mc:AlternateContent>
      </w:r>
      <w:r>
        <w:rPr>
          <w:sz w:val="24"/>
          <w:szCs w:val="24"/>
        </w:rPr>
      </w:r>
    </w:p>
    <w:p>
      <w:pPr>
        <w:spacing w:line="240" w:lineRule="auto"/>
        <w:ind w:firstLine="0"/>
        <w:jc w:val="center"/>
      </w:pPr>
      <w:r>
        <w:rPr>
          <w:bCs/>
          <w:color w:val="000000"/>
        </w:rPr>
        <w:t xml:space="preserve">Рис. 7. Общая распространенность пагубного употребления </w:t>
      </w:r>
      <w:r>
        <w:rPr>
          <w:bCs/>
          <w:color w:val="000000"/>
        </w:rPr>
        <w:br/>
        <w:t xml:space="preserve">наркотических средств с вредными последствиями среди несовершеннолетних в 2024-2025 гг.  в разрезе муниципальных образований </w:t>
      </w:r>
      <w:r>
        <w:rPr>
          <w:bCs/>
          <w:color w:val="000000"/>
        </w:rPr>
        <w:br/>
        <w:t xml:space="preserve">(</w:t>
      </w:r>
      <w:r>
        <w:rPr>
          <w:bCs/>
          <w:color w:val="000000"/>
        </w:rPr>
        <w:t xml:space="preserve">абс</w:t>
      </w:r>
      <w:r>
        <w:rPr>
          <w:bCs/>
          <w:color w:val="000000"/>
        </w:rPr>
        <w:t xml:space="preserve">.; на 100 тысяч несовершеннолетних)</w:t>
      </w:r>
    </w:p>
    <w:p>
      <w:pPr>
        <w:spacing w:line="276" w:lineRule="auto"/>
        <w:ind w:firstLine="709"/>
      </w:pPr>
      <w:r>
        <w:t xml:space="preserve"> </w:t>
      </w:r>
    </w:p>
    <w:p>
      <w:pPr>
        <w:spacing w:line="276" w:lineRule="auto"/>
        <w:ind w:firstLine="709"/>
        <w:rPr>
          <w:sz w:val="24"/>
          <w:szCs w:val="24"/>
        </w:rPr>
      </w:pPr>
      <w:r>
        <w:rPr>
          <w:color w:val="000000"/>
        </w:rPr>
        <w:t xml:space="preserve">В следующих муниципальных образованиях зафиксировано снижение распространенности пагубного употребления наркотиков среди несовершеннолетних, при сохранении числа лиц, зарегистрированных с пагубным употреблением наркотических средств: </w:t>
      </w:r>
      <w:r>
        <w:rPr>
          <w:sz w:val="24"/>
          <w:szCs w:val="24"/>
        </w:rPr>
      </w:r>
    </w:p>
    <w:p>
      <w:pPr>
        <w:pStyle w:val="1624"/>
        <w:spacing w:after="0" w:line="276" w:lineRule="auto"/>
        <w:ind w:firstLine="709"/>
        <w:jc w:val="both"/>
        <w:rPr>
          <w:color w:val="000000"/>
          <w:sz w:val="28"/>
          <w:szCs w:val="28"/>
        </w:rPr>
      </w:pPr>
      <w:r>
        <w:rPr>
          <w:color w:val="000000"/>
          <w:sz w:val="28"/>
          <w:szCs w:val="28"/>
        </w:rPr>
        <w:t xml:space="preserve">- г. Радужный </w:t>
      </w:r>
      <w:r>
        <w:rPr>
          <w:sz w:val="28"/>
          <w:szCs w:val="28"/>
        </w:rPr>
        <w:t xml:space="preserve">– по 2</w:t>
      </w:r>
      <w:r>
        <w:rPr>
          <w:color w:val="000000"/>
          <w:sz w:val="28"/>
          <w:szCs w:val="28"/>
        </w:rPr>
        <w:t xml:space="preserve"> случая (показатель на 100 тысяч несовершеннолетних в 2025 г. составил – 15,4, в 2024 г. – 15,5);</w:t>
      </w:r>
      <w:r>
        <w:rPr>
          <w:color w:val="000000"/>
          <w:sz w:val="28"/>
          <w:szCs w:val="28"/>
        </w:rPr>
      </w:r>
    </w:p>
    <w:p>
      <w:pPr>
        <w:pStyle w:val="1624"/>
        <w:spacing w:after="0" w:line="276" w:lineRule="auto"/>
        <w:ind w:firstLine="709"/>
        <w:jc w:val="both"/>
        <w:rPr>
          <w:color w:val="000000"/>
          <w:sz w:val="28"/>
          <w:szCs w:val="28"/>
        </w:rPr>
      </w:pPr>
      <w:r>
        <w:rPr>
          <w:color w:val="000000"/>
          <w:sz w:val="28"/>
          <w:szCs w:val="28"/>
        </w:rPr>
        <w:t xml:space="preserve">- г. </w:t>
      </w:r>
      <w:r>
        <w:rPr>
          <w:color w:val="000000"/>
          <w:sz w:val="28"/>
          <w:szCs w:val="28"/>
        </w:rPr>
        <w:t xml:space="preserve">Покачи</w:t>
      </w:r>
      <w:r>
        <w:rPr>
          <w:color w:val="000000"/>
          <w:sz w:val="28"/>
          <w:szCs w:val="28"/>
        </w:rPr>
        <w:t xml:space="preserve"> </w:t>
      </w:r>
      <w:r>
        <w:rPr>
          <w:sz w:val="28"/>
          <w:szCs w:val="28"/>
        </w:rPr>
        <w:t xml:space="preserve">– по 1</w:t>
      </w:r>
      <w:r>
        <w:rPr>
          <w:color w:val="000000"/>
          <w:sz w:val="28"/>
          <w:szCs w:val="28"/>
        </w:rPr>
        <w:t xml:space="preserve"> случаю (показатель на 100 тысяч несовершеннолетних в 2025 г. составил – 20,8, в 2024 г. – 21,0).</w:t>
      </w:r>
      <w:r>
        <w:rPr>
          <w:color w:val="000000"/>
          <w:sz w:val="28"/>
          <w:szCs w:val="28"/>
        </w:rPr>
      </w:r>
    </w:p>
    <w:p>
      <w:pPr>
        <w:pStyle w:val="1624"/>
        <w:spacing w:after="0" w:line="276" w:lineRule="auto"/>
        <w:ind w:firstLine="709"/>
        <w:jc w:val="both"/>
        <w:rPr>
          <w:color w:val="000000"/>
          <w:sz w:val="28"/>
          <w:szCs w:val="28"/>
        </w:rPr>
      </w:pPr>
      <w:r>
        <w:rPr>
          <w:sz w:val="28"/>
          <w:szCs w:val="28"/>
        </w:rPr>
        <w:t xml:space="preserve">В городах Когалым, Нягань и Ханты-Мансийск сохраняется распространенность пагубного употребления наркотиков на уровне 2024 года (5,8 на 100 тысяч несовершеннолетних, </w:t>
      </w:r>
      <w:r>
        <w:rPr>
          <w:sz w:val="28"/>
          <w:szCs w:val="28"/>
        </w:rPr>
        <w:t xml:space="preserve">абс</w:t>
      </w:r>
      <w:r>
        <w:rPr>
          <w:sz w:val="28"/>
          <w:szCs w:val="28"/>
        </w:rPr>
        <w:t xml:space="preserve">. 1 для Когалыма), (6,1 на 100 тысяч </w:t>
      </w:r>
      <w:r>
        <w:rPr>
          <w:sz w:val="28"/>
          <w:szCs w:val="28"/>
        </w:rPr>
        <w:t xml:space="preserve">несовершеннолетних, </w:t>
      </w:r>
      <w:r>
        <w:rPr>
          <w:sz w:val="28"/>
          <w:szCs w:val="28"/>
        </w:rPr>
        <w:t xml:space="preserve">абс</w:t>
      </w:r>
      <w:r>
        <w:rPr>
          <w:sz w:val="28"/>
          <w:szCs w:val="28"/>
        </w:rPr>
        <w:t xml:space="preserve">. 1 для </w:t>
      </w:r>
      <w:r>
        <w:rPr>
          <w:sz w:val="28"/>
          <w:szCs w:val="28"/>
        </w:rPr>
        <w:t xml:space="preserve">Нягани</w:t>
      </w:r>
      <w:r>
        <w:rPr>
          <w:sz w:val="28"/>
          <w:szCs w:val="28"/>
        </w:rPr>
        <w:t xml:space="preserve">) и (3,8 на 100 тысяч несовершеннолетних, </w:t>
      </w:r>
      <w:r>
        <w:rPr>
          <w:sz w:val="28"/>
          <w:szCs w:val="28"/>
        </w:rPr>
        <w:t xml:space="preserve">абс</w:t>
      </w:r>
      <w:r>
        <w:rPr>
          <w:sz w:val="28"/>
          <w:szCs w:val="28"/>
        </w:rPr>
        <w:t xml:space="preserve">. 1 для Ханты-Мансийска).</w:t>
      </w:r>
      <w:r>
        <w:rPr>
          <w:color w:val="000000"/>
          <w:sz w:val="28"/>
          <w:szCs w:val="28"/>
        </w:rPr>
      </w:r>
    </w:p>
    <w:p>
      <w:pPr>
        <w:pStyle w:val="1624"/>
        <w:spacing w:after="0" w:line="276" w:lineRule="auto"/>
        <w:ind w:firstLine="709"/>
        <w:jc w:val="both"/>
        <w:rPr>
          <w:color w:val="000000"/>
          <w:sz w:val="28"/>
          <w:szCs w:val="28"/>
        </w:rPr>
      </w:pPr>
      <w:r>
        <w:rPr>
          <w:color w:val="000000"/>
          <w:sz w:val="28"/>
          <w:szCs w:val="28"/>
        </w:rPr>
        <w:t xml:space="preserve">В других 14-ти муниципальных образованиях распространённость пагубного употребления наркотиков среди несовершеннолетних не зарегистрирована в 2024-2025 годах.</w:t>
      </w:r>
      <w:r>
        <w:rPr>
          <w:color w:val="000000"/>
          <w:sz w:val="28"/>
          <w:szCs w:val="28"/>
        </w:rPr>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b/>
          <w:bCs/>
          <w:i/>
          <w:iCs/>
          <w:color w:val="000000"/>
        </w:rPr>
        <w:t xml:space="preserve">Анализ динамики первичной заболеваемости пагубного употребления наркотиков</w:t>
      </w:r>
      <w:r>
        <w:rPr>
          <w:sz w:val="24"/>
          <w:szCs w:val="24"/>
        </w:rPr>
      </w:r>
    </w:p>
    <w:p>
      <w:pPr>
        <w:pStyle w:val="1624"/>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в автономном округе (рис. 8) в 2025 году составил </w:t>
      </w:r>
      <w:r>
        <w:rPr>
          <w:sz w:val="28"/>
          <w:szCs w:val="28"/>
          <w:highlight w:val="white"/>
          <w:shd w:val="clear" w:color="ffffff" w:themeColor="background1" w:fill="ffffff" w:themeFill="background1"/>
        </w:rPr>
        <w:t xml:space="preserve">4,8</w:t>
      </w:r>
      <w:r>
        <w:rPr>
          <w:sz w:val="28"/>
          <w:szCs w:val="28"/>
          <w:shd w:val="clear" w:color="ffffff" w:themeColor="background1" w:fill="ffffff" w:themeFill="background1"/>
        </w:rPr>
        <w:t xml:space="preserve"> </w:t>
      </w:r>
      <w:r>
        <w:rPr>
          <w:sz w:val="28"/>
          <w:szCs w:val="28"/>
        </w:rPr>
        <w:t xml:space="preserve">на 100 тыс. населения, или 86 новых случая, что на 5</w:t>
      </w:r>
      <w:r>
        <w:rPr>
          <w:sz w:val="28"/>
          <w:szCs w:val="28"/>
        </w:rPr>
        <w:t xml:space="preserve">,9% ниже, чем в 2024 году, когда было выявлено 91 новый случай, или 5,1 на 100 тыс. населения. Для сравнения в Уральском Федеральном округе показатель за 2024 год составил 13,1 на 100 тысяч населения, по Российской Федерации – 11,4 на 100 тысяч населения. </w:t>
      </w:r>
      <w:r>
        <w:rPr>
          <w:sz w:val="28"/>
          <w:szCs w:val="28"/>
        </w:rPr>
      </w:r>
    </w:p>
    <w:p>
      <w:pPr>
        <w:pStyle w:val="1624"/>
        <w:spacing w:after="0" w:line="276" w:lineRule="auto"/>
        <w:ind w:firstLine="0"/>
        <w:jc w:val="both"/>
        <w:rPr>
          <w:sz w:val="28"/>
          <w:szCs w:val="28"/>
        </w:rPr>
      </w:pPr>
      <w:r>
        <w:rPr>
          <w:sz w:val="28"/>
          <w:szCs w:val="28"/>
        </w:rPr>
        <mc:AlternateContent>
          <mc:Choice Requires="wpg">
            <w:drawing>
              <wp:inline xmlns:wp="http://schemas.openxmlformats.org/drawingml/2006/wordprocessingDrawing" distT="0" distB="0" distL="0" distR="0">
                <wp:extent cx="5931535" cy="2544418"/>
                <wp:effectExtent l="0" t="0" r="0" b="889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9"/>
                        <a:stretch/>
                      </pic:blipFill>
                      <pic:spPr bwMode="auto">
                        <a:xfrm>
                          <a:off x="0" y="0"/>
                          <a:ext cx="5936945" cy="254673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0pt;height:200.3pt;mso-wrap-distance-left:0.0pt;mso-wrap-distance-top:0.0pt;mso-wrap-distance-right:0.0pt;mso-wrap-distance-bottom:0.0pt;" stroked="f">
                <v:path textboxrect="0,0,0,0"/>
                <v:imagedata r:id="rId29" o:title=""/>
              </v:shape>
            </w:pict>
          </mc:Fallback>
        </mc:AlternateContent>
      </w:r>
      <w:r>
        <w:rPr>
          <w:sz w:val="28"/>
          <w:szCs w:val="28"/>
        </w:rPr>
      </w:r>
    </w:p>
    <w:p>
      <w:pPr>
        <w:spacing w:line="240" w:lineRule="auto"/>
        <w:ind w:firstLine="0"/>
        <w:jc w:val="center"/>
        <w:rPr>
          <w:sz w:val="24"/>
          <w:szCs w:val="24"/>
        </w:rPr>
      </w:pPr>
      <w:r>
        <w:rPr>
          <w:sz w:val="24"/>
          <w:szCs w:val="24"/>
        </w:rPr>
      </w:r>
      <w:r>
        <w:rPr>
          <w:sz w:val="24"/>
          <w:szCs w:val="24"/>
        </w:rPr>
      </w:r>
    </w:p>
    <w:p>
      <w:pPr>
        <w:spacing w:line="240" w:lineRule="auto"/>
        <w:ind w:firstLine="0"/>
        <w:jc w:val="center"/>
      </w:pPr>
      <w:r>
        <w:rPr>
          <w:bCs/>
          <w:color w:val="000000"/>
        </w:rPr>
        <w:t xml:space="preserve">Рис. 8. Динамика показателя первичной заболеваемости пагубного употребления наркотиков в 2020-2025 гг. (на 100 тысяч населения)</w:t>
      </w:r>
    </w:p>
    <w:p>
      <w:pPr>
        <w:spacing w:line="276" w:lineRule="auto"/>
        <w:ind w:firstLine="709"/>
        <w:rPr>
          <w:color w:val="000000"/>
        </w:rPr>
      </w:pPr>
      <w:r>
        <w:rPr>
          <w:color w:val="000000"/>
        </w:rPr>
      </w:r>
      <w:r>
        <w:rPr>
          <w:color w:val="000000"/>
        </w:rPr>
      </w:r>
    </w:p>
    <w:p>
      <w:pPr>
        <w:spacing w:line="276" w:lineRule="auto"/>
        <w:ind w:firstLine="709"/>
        <w:rPr>
          <w:sz w:val="24"/>
          <w:szCs w:val="24"/>
        </w:rPr>
      </w:pPr>
      <w:r>
        <w:rPr>
          <w:color w:val="000000"/>
        </w:rP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Югры (рис. 9):</w:t>
      </w:r>
      <w:r>
        <w:rPr>
          <w:sz w:val="24"/>
          <w:szCs w:val="24"/>
        </w:rPr>
      </w:r>
    </w:p>
    <w:p>
      <w:pPr>
        <w:spacing w:line="276" w:lineRule="auto"/>
        <w:ind w:firstLine="709"/>
        <w:rPr>
          <w:sz w:val="24"/>
          <w:szCs w:val="24"/>
        </w:rPr>
      </w:pPr>
      <w:r>
        <w:rPr>
          <w:color w:val="000000"/>
        </w:rPr>
        <w:t xml:space="preserve">-  г. </w:t>
      </w:r>
      <w:r>
        <w:rPr>
          <w:color w:val="000000"/>
        </w:rPr>
        <w:t xml:space="preserve">Мегион</w:t>
      </w:r>
      <w:r>
        <w:rPr>
          <w:color w:val="000000"/>
        </w:rPr>
        <w:t xml:space="preserve"> – с 1 случая в 2024 году (1,7 на 100 тысяч населения) до 6 случаев в 2025 году (10,0 на 100 тысяч населения);</w:t>
      </w:r>
      <w:r>
        <w:rPr>
          <w:sz w:val="24"/>
          <w:szCs w:val="24"/>
        </w:rPr>
      </w:r>
    </w:p>
    <w:p>
      <w:pPr>
        <w:spacing w:line="276" w:lineRule="auto"/>
        <w:ind w:firstLine="709"/>
        <w:rPr>
          <w:sz w:val="24"/>
          <w:szCs w:val="24"/>
        </w:rPr>
      </w:pPr>
      <w:r>
        <w:rPr>
          <w:color w:val="000000"/>
        </w:rPr>
        <w:t xml:space="preserve">-  Сургутский район – с 13 случаев в 2024 году (10,0 на 100 тысяч населения) до 17 случаев в 2025 году (13,0 на 100 тысяч населения);</w:t>
      </w:r>
      <w:r>
        <w:rPr>
          <w:sz w:val="24"/>
          <w:szCs w:val="24"/>
        </w:rPr>
      </w:r>
    </w:p>
    <w:p>
      <w:pPr>
        <w:spacing w:line="276" w:lineRule="auto"/>
        <w:ind w:firstLine="709"/>
        <w:rPr>
          <w:sz w:val="24"/>
          <w:szCs w:val="24"/>
        </w:rPr>
      </w:pPr>
      <w:r>
        <w:rPr>
          <w:color w:val="000000"/>
        </w:rPr>
        <w:t xml:space="preserve">-  г. Сургут – с 23 случаев в 2024 году (5,4 на 100 тысяч населения) до 26 случаев в 2025 году (6,0 на 100 тысяч населения);</w:t>
      </w:r>
      <w:r>
        <w:rPr>
          <w:sz w:val="24"/>
          <w:szCs w:val="24"/>
        </w:rPr>
      </w:r>
    </w:p>
    <w:p>
      <w:pPr>
        <w:spacing w:line="276" w:lineRule="auto"/>
        <w:ind w:firstLine="709"/>
        <w:rPr>
          <w:sz w:val="24"/>
          <w:szCs w:val="24"/>
        </w:rPr>
      </w:pPr>
      <w:r>
        <w:rPr>
          <w:color w:val="000000"/>
        </w:rPr>
        <w:t xml:space="preserve">-  г. Урай – с 0 случаев в 2024 году до 3 случаев в 2025 году (7,3 на 100 тысяч населения);</w:t>
      </w:r>
      <w:r>
        <w:rPr>
          <w:sz w:val="24"/>
          <w:szCs w:val="24"/>
        </w:rPr>
      </w:r>
    </w:p>
    <w:p>
      <w:pPr>
        <w:spacing w:line="276" w:lineRule="auto"/>
        <w:ind w:firstLine="709"/>
        <w:rPr>
          <w:sz w:val="24"/>
          <w:szCs w:val="24"/>
        </w:rPr>
      </w:pPr>
      <w:r>
        <w:rPr>
          <w:color w:val="000000"/>
        </w:rPr>
        <w:t xml:space="preserve">-  Советский район – с 0 случаев в 2024 году до 2 случаев в 2025 году (4,3 на 100 тысяч населения);</w:t>
      </w:r>
      <w:r>
        <w:rPr>
          <w:sz w:val="24"/>
          <w:szCs w:val="24"/>
        </w:rPr>
      </w:r>
    </w:p>
    <w:p>
      <w:pPr>
        <w:spacing w:line="276" w:lineRule="auto"/>
        <w:ind w:firstLine="709"/>
        <w:rPr>
          <w:sz w:val="24"/>
          <w:szCs w:val="24"/>
        </w:rPr>
      </w:pPr>
      <w:r>
        <w:rPr>
          <w:color w:val="000000"/>
        </w:rPr>
        <w:t xml:space="preserve">-  Березовский район – с 0 случаев в 2024 году до 1 случая в 2025 году (4,4 на 100 тысяч населения);</w:t>
      </w:r>
      <w:r>
        <w:rPr>
          <w:sz w:val="24"/>
          <w:szCs w:val="24"/>
        </w:rPr>
      </w:r>
    </w:p>
    <w:p>
      <w:pPr>
        <w:spacing w:line="276" w:lineRule="auto"/>
        <w:ind w:firstLine="709"/>
        <w:rPr>
          <w:sz w:val="24"/>
          <w:szCs w:val="24"/>
        </w:rPr>
      </w:pPr>
      <w:r>
        <w:rPr>
          <w:color w:val="000000"/>
        </w:rPr>
        <w:t xml:space="preserve">-  </w:t>
      </w:r>
      <w:r>
        <w:rPr>
          <w:color w:val="000000"/>
        </w:rPr>
        <w:t xml:space="preserve">Нефтеюганский</w:t>
      </w:r>
      <w:r>
        <w:rPr>
          <w:color w:val="000000"/>
        </w:rPr>
        <w:t xml:space="preserve"> район – с 0 случаев в 2024 году до 1 случая в 2025 году (2,1 на 100 тысяч населения).</w:t>
      </w:r>
      <w:r>
        <w:rPr>
          <w:sz w:val="24"/>
          <w:szCs w:val="24"/>
        </w:rPr>
      </w:r>
    </w:p>
    <w:p>
      <w:pPr>
        <w:spacing w:line="276" w:lineRule="auto"/>
        <w:ind w:firstLine="709"/>
        <w:rPr>
          <w:sz w:val="24"/>
          <w:szCs w:val="24"/>
        </w:rPr>
      </w:pPr>
      <w:r>
        <w:rPr>
          <w:color w:val="000000"/>
        </w:rPr>
        <w:t xml:space="preserve">В г. </w:t>
      </w:r>
      <w:r>
        <w:rPr>
          <w:color w:val="000000"/>
        </w:rPr>
        <w:t xml:space="preserve">Пыть-Ях</w:t>
      </w:r>
      <w:r>
        <w:rPr>
          <w:color w:val="000000"/>
        </w:rPr>
        <w:t xml:space="preserve">, а также в Белоярском, Нижневартовском и Октябрьском районах в 2024-2025 годах первичная заболеваемость пагубного с вредными последствиями употребления наркотиков не зарегистрирована. </w:t>
      </w:r>
      <w:r>
        <w:rPr>
          <w:sz w:val="24"/>
          <w:szCs w:val="24"/>
        </w:rPr>
      </w:r>
    </w:p>
    <w:p>
      <w:pPr>
        <w:spacing w:line="276" w:lineRule="auto"/>
        <w:ind w:firstLine="709"/>
        <w:rPr>
          <w:sz w:val="24"/>
          <w:szCs w:val="24"/>
        </w:rPr>
      </w:pPr>
      <w:r>
        <w:rPr>
          <w:color w:val="000000"/>
        </w:rPr>
        <w:t xml:space="preserve">В других муниципальных образованиях автономного округа отмечается снижение первичной заболеваемости пагубного употребления наркотиков с вредными последствиями.</w:t>
      </w:r>
      <w:r>
        <w:rPr>
          <w:sz w:val="24"/>
          <w:szCs w:val="24"/>
        </w:rPr>
      </w:r>
    </w:p>
    <w:p>
      <w:pPr>
        <w:spacing w:line="276" w:lineRule="auto"/>
        <w:ind w:firstLine="0"/>
        <w:rPr>
          <w:sz w:val="24"/>
          <w:szCs w:val="24"/>
        </w:rPr>
      </w:pPr>
      <w:r>
        <w:rPr>
          <w:sz w:val="24"/>
          <w:szCs w:val="24"/>
        </w:rPr>
        <mc:AlternateContent>
          <mc:Choice Requires="wpg">
            <w:drawing>
              <wp:inline xmlns:wp="http://schemas.openxmlformats.org/drawingml/2006/wordprocessingDrawing" distT="0" distB="0" distL="0" distR="0">
                <wp:extent cx="5939790" cy="2881630"/>
                <wp:effectExtent l="0" t="0" r="381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0"/>
                        <a:stretch/>
                      </pic:blipFill>
                      <pic:spPr bwMode="auto">
                        <a:xfrm>
                          <a:off x="0" y="0"/>
                          <a:ext cx="5939790" cy="28816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7pt;height:226.9pt;mso-wrap-distance-left:0.0pt;mso-wrap-distance-top:0.0pt;mso-wrap-distance-right:0.0pt;mso-wrap-distance-bottom:0.0pt;" stroked="false">
                <v:path textboxrect="0,0,0,0"/>
                <v:imagedata r:id="rId30" o:title=""/>
              </v:shape>
            </w:pict>
          </mc:Fallback>
        </mc:AlternateContent>
      </w:r>
      <w:r>
        <w:rPr>
          <w:sz w:val="24"/>
          <w:szCs w:val="24"/>
        </w:rPr>
      </w:r>
    </w:p>
    <w:p>
      <w:pPr>
        <w:spacing w:line="240" w:lineRule="auto"/>
        <w:ind w:firstLine="0"/>
        <w:jc w:val="center"/>
      </w:pPr>
      <w:r>
        <w:rPr>
          <w:bCs/>
          <w:color w:val="000000"/>
        </w:rPr>
        <w:t xml:space="preserve">Рис. 9. Первичная заболеваемость употребления наркотиков с вредными последствиями в 2024-2025 гг. (на 100 тысяч населения)</w:t>
      </w:r>
    </w:p>
    <w:p>
      <w:pPr>
        <w:spacing w:line="276" w:lineRule="auto"/>
        <w:ind w:firstLine="709"/>
      </w:pPr>
      <w:r>
        <w:t xml:space="preserve"> </w:t>
      </w:r>
    </w:p>
    <w:p>
      <w:pPr>
        <w:spacing w:line="276" w:lineRule="auto"/>
        <w:ind w:firstLine="709"/>
      </w:pPr>
      <w:r>
        <w:rPr>
          <w:color w:val="000000"/>
        </w:rPr>
        <w:t xml:space="preserve">Стоит отметить, что н</w:t>
      </w:r>
      <w:r>
        <w:t xml:space="preserve">аблюд</w:t>
      </w:r>
      <w:r>
        <w:t xml:space="preserve">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p>
    <w:p>
      <w:pPr>
        <w:spacing w:line="276" w:lineRule="auto"/>
        <w:ind w:firstLine="709"/>
      </w:pPr>
      <w:r>
        <w:t xml:space="preserve">Первичная заболеваемость пагубным употреблением наркотиков среди несовершеннолетних в 2025 году составила 3,7 на 100 тысяч несовершеннолетних (</w:t>
      </w:r>
      <w:r>
        <w:t xml:space="preserve">абс</w:t>
      </w:r>
      <w:r>
        <w:t xml:space="preserve">. 16), что на 32,1 % выше, чем в 2024 году – 2,8 на 100 тысяч несовершеннолетних, или 12 несовершеннолетних </w:t>
      </w:r>
      <w:r>
        <w:rPr>
          <w:color w:val="000000"/>
        </w:rPr>
        <w:t xml:space="preserve">(рис. 10).</w:t>
      </w:r>
    </w:p>
    <w:p>
      <w:pPr>
        <w:spacing w:line="276" w:lineRule="auto"/>
        <w:ind w:firstLine="709"/>
      </w:pPr>
      <w:r>
        <w:rPr>
          <w:color w:val="000000"/>
        </w:rPr>
        <w:t xml:space="preserve">Увеличение показателя первичной заболеваемости пагубным употреблением наркотиков среди несовершеннолетних зарегистрировано в трех муниципальных образованиях:</w:t>
      </w:r>
    </w:p>
    <w:p>
      <w:pPr>
        <w:spacing w:line="276" w:lineRule="auto"/>
        <w:ind w:firstLine="709"/>
      </w:pPr>
      <w:r>
        <w:rPr>
          <w:color w:val="000000"/>
        </w:rPr>
        <w:t xml:space="preserve">- Сургутский район – с 1 до 5 новых случаев (с 2,8 до 13,7 на 100 тысяч несовершеннолетних);</w:t>
      </w:r>
    </w:p>
    <w:p>
      <w:pPr>
        <w:spacing w:line="276" w:lineRule="auto"/>
        <w:ind w:firstLine="709"/>
      </w:pPr>
      <w:r>
        <w:rPr>
          <w:color w:val="000000"/>
        </w:rPr>
        <w:t xml:space="preserve">- г. Сургут – с 4 до 7 случаев (с 3,9 до 6,6 на 100 тысяч несовершеннолетних);</w:t>
      </w:r>
    </w:p>
    <w:p>
      <w:pPr>
        <w:spacing w:line="276" w:lineRule="auto"/>
        <w:ind w:firstLine="709"/>
        <w:rPr>
          <w:color w:val="000000"/>
          <w:highlight w:val="none"/>
        </w:rPr>
      </w:pPr>
      <w:r>
        <w:rPr>
          <w:color w:val="000000"/>
        </w:rPr>
        <w:t xml:space="preserve">- г. Нижневартовск – с 1 до 4 случаев (с 1,5 до 6,1 на 100 тысяч несовершеннолетних).</w:t>
      </w:r>
    </w:p>
    <w:p>
      <w:pPr>
        <w:spacing w:line="240" w:lineRule="auto"/>
        <w:ind w:firstLine="0"/>
        <w:jc w:val="center"/>
        <w:rPr>
          <w:bCs/>
          <w:color w:val="000000"/>
        </w:rPr>
      </w:pPr>
      <w:r>
        <mc:AlternateContent>
          <mc:Choice Requires="wpg">
            <w:drawing>
              <wp:inline xmlns:wp="http://schemas.openxmlformats.org/drawingml/2006/wordprocessingDrawing" distT="0" distB="0" distL="0" distR="0">
                <wp:extent cx="5939790" cy="2351405"/>
                <wp:effectExtent l="0" t="0" r="381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31"/>
                        <a:stretch/>
                      </pic:blipFill>
                      <pic:spPr bwMode="auto">
                        <a:xfrm>
                          <a:off x="0" y="0"/>
                          <a:ext cx="5939790" cy="23514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7pt;height:185.1pt;mso-wrap-distance-left:0.0pt;mso-wrap-distance-top:0.0pt;mso-wrap-distance-right:0.0pt;mso-wrap-distance-bottom:0.0pt;" stroked="f">
                <v:path textboxrect="0,0,0,0"/>
                <v:imagedata r:id="rId31" o:title=""/>
              </v:shape>
            </w:pict>
          </mc:Fallback>
        </mc:AlternateContent>
      </w:r>
      <w:r>
        <w:rPr>
          <w:bCs/>
          <w:color w:val="000000"/>
        </w:rPr>
      </w:r>
    </w:p>
    <w:p>
      <w:pPr>
        <w:spacing w:line="240" w:lineRule="auto"/>
        <w:ind w:firstLine="0"/>
        <w:jc w:val="center"/>
      </w:pPr>
      <w:r>
        <w:rPr>
          <w:bCs/>
          <w:color w:val="000000"/>
        </w:rPr>
        <w:t xml:space="preserve">Рис. 10. Первичная заболеваемость пагубным употреблением </w:t>
      </w:r>
      <w:r>
        <w:rPr>
          <w:bCs/>
          <w:color w:val="000000"/>
        </w:rPr>
        <w:br/>
        <w:t xml:space="preserve">наркотических средств с вредными последствиями среди несовершеннолетних в 2024-2025 гг. в разрезе муниципальных образований (</w:t>
      </w:r>
      <w:r>
        <w:rPr>
          <w:bCs/>
          <w:color w:val="000000"/>
        </w:rPr>
        <w:t xml:space="preserve">абс</w:t>
      </w:r>
      <w:r>
        <w:rPr>
          <w:bCs/>
          <w:color w:val="000000"/>
        </w:rPr>
        <w:t xml:space="preserve">.; на 100 тысяч несовершеннолетних)</w:t>
      </w:r>
    </w:p>
    <w:p>
      <w:pPr>
        <w:spacing w:line="276" w:lineRule="auto"/>
        <w:ind w:firstLine="709"/>
        <w:rPr>
          <w:sz w:val="24"/>
          <w:szCs w:val="24"/>
        </w:rPr>
      </w:pPr>
      <w:r>
        <w:rPr>
          <w:sz w:val="24"/>
          <w:szCs w:val="24"/>
        </w:rPr>
        <w:t xml:space="preserve"> </w:t>
      </w:r>
      <w:r>
        <w:rPr>
          <w:sz w:val="24"/>
          <w:szCs w:val="24"/>
        </w:rPr>
      </w:r>
    </w:p>
    <w:p>
      <w:pPr>
        <w:pStyle w:val="1624"/>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первичной заболеваемости пагубным употреблением наркотиков среди несовершеннолетних:</w:t>
      </w:r>
      <w:r>
        <w:rPr>
          <w:sz w:val="28"/>
          <w:szCs w:val="28"/>
        </w:rPr>
      </w:r>
    </w:p>
    <w:p>
      <w:pPr>
        <w:spacing w:line="276" w:lineRule="auto"/>
        <w:ind w:firstLine="709"/>
      </w:pPr>
      <w:r>
        <w:rPr>
          <w:color w:val="000000"/>
        </w:rPr>
        <w:t xml:space="preserve">- г. Радужный </w:t>
      </w:r>
      <w:r>
        <w:t xml:space="preserve">– с 2 случаев в 2024 году (15,5 на 100 тысяч несовершеннолетних) до 0 случаев в 2025 году;</w:t>
      </w:r>
    </w:p>
    <w:p>
      <w:pPr>
        <w:spacing w:line="276" w:lineRule="auto"/>
        <w:ind w:firstLine="709"/>
      </w:pPr>
      <w:r>
        <w:rPr>
          <w:color w:val="000000"/>
        </w:rPr>
        <w:t xml:space="preserve">- г. Когалым </w:t>
      </w:r>
      <w:r>
        <w:t xml:space="preserve">– с 1 случая (5,8 на 100 тысяч несовершеннолетних) до 0 случаев;</w:t>
      </w:r>
    </w:p>
    <w:p>
      <w:pPr>
        <w:spacing w:line="276" w:lineRule="auto"/>
        <w:ind w:firstLine="709"/>
      </w:pPr>
      <w:r>
        <w:rPr>
          <w:color w:val="000000"/>
        </w:rPr>
        <w:t xml:space="preserve">- г. </w:t>
      </w:r>
      <w:r>
        <w:rPr>
          <w:color w:val="000000"/>
        </w:rPr>
        <w:t xml:space="preserve">Покачи</w:t>
      </w:r>
      <w:r>
        <w:rPr>
          <w:color w:val="000000"/>
        </w:rPr>
        <w:t xml:space="preserve"> </w:t>
      </w:r>
      <w:r>
        <w:t xml:space="preserve">– с 1 случая (21,0 на 100 тысяч несовершеннолетних) до 0 случаев;</w:t>
      </w:r>
    </w:p>
    <w:p>
      <w:pPr>
        <w:spacing w:line="276" w:lineRule="auto"/>
        <w:ind w:firstLine="709"/>
      </w:pPr>
      <w:r>
        <w:rPr>
          <w:color w:val="000000"/>
        </w:rPr>
        <w:t xml:space="preserve">- г. Ханты-Мансийск </w:t>
      </w:r>
      <w:r>
        <w:t xml:space="preserve">– с 1 случая (3,8 на 100 тысяч несовершеннолетних) до 0 случаев;</w:t>
      </w:r>
    </w:p>
    <w:p>
      <w:pPr>
        <w:spacing w:line="276" w:lineRule="auto"/>
        <w:ind w:firstLine="709"/>
      </w:pPr>
      <w:r>
        <w:t xml:space="preserve">- г. Нягань – с 1 случая (6,1 на 100 тысяч несовершеннолетних) до 0 случаев.</w:t>
      </w:r>
    </w:p>
    <w:p>
      <w:pPr>
        <w:pStyle w:val="1624"/>
        <w:spacing w:after="0" w:line="276" w:lineRule="auto"/>
        <w:ind w:firstLine="709"/>
        <w:jc w:val="both"/>
        <w:rPr>
          <w:color w:val="000000"/>
          <w:sz w:val="28"/>
          <w:szCs w:val="28"/>
        </w:rPr>
      </w:pPr>
      <w:r>
        <w:rPr>
          <w:color w:val="000000"/>
          <w:sz w:val="28"/>
          <w:szCs w:val="28"/>
        </w:rPr>
        <w:t xml:space="preserve">В других 14-ти муниципальных образованиях первичная заболеваемость пагубным употреблением наркотиков среди несовершеннолетних не зарегистрирована в 2024-2025 годах.</w:t>
      </w:r>
      <w:r>
        <w:rPr>
          <w:color w:val="000000"/>
          <w:sz w:val="28"/>
          <w:szCs w:val="28"/>
        </w:rPr>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b/>
          <w:bCs/>
          <w:i/>
          <w:iCs/>
          <w:color w:val="000000"/>
        </w:rPr>
        <w:t xml:space="preserve">Анализ других медицинских показателей у лиц с наркологическими расстройствами, связанными с употреблением наркотиков</w:t>
      </w:r>
      <w:r>
        <w:rPr>
          <w:sz w:val="24"/>
          <w:szCs w:val="24"/>
        </w:rPr>
      </w:r>
    </w:p>
    <w:p>
      <w:pPr>
        <w:spacing w:line="276" w:lineRule="auto"/>
        <w:ind w:firstLine="709"/>
        <w:rPr>
          <w:sz w:val="24"/>
          <w:szCs w:val="24"/>
        </w:rPr>
      </w:pPr>
      <w:r>
        <w:rPr>
          <w:color w:val="000000"/>
        </w:rPr>
        <w:t xml:space="preserve">Среди лиц, употребляющих наркотические средства (как с синдромом зависимости, так и пагубным употреблением с вредными последствиями), состоящих под диспансерным наблюдением в 2025 году, ВИЧ–позитивный статус имеют 26,9% (</w:t>
      </w:r>
      <w:r>
        <w:rPr>
          <w:color w:val="000000"/>
        </w:rPr>
        <w:t xml:space="preserve">абс</w:t>
      </w:r>
      <w:r>
        <w:rPr>
          <w:color w:val="000000"/>
        </w:rPr>
        <w:t xml:space="preserve">. 544 из 2023 лиц, зарегистрированных в связи с потреблением наркотиков).  В 2024 году их доля составляла 23,8% (</w:t>
      </w:r>
      <w:r>
        <w:rPr>
          <w:color w:val="000000"/>
        </w:rPr>
        <w:t xml:space="preserve">абс</w:t>
      </w:r>
      <w:r>
        <w:rPr>
          <w:color w:val="000000"/>
        </w:rPr>
        <w:t xml:space="preserve">. 589 чел. из 2477 чел.). Удельный вес ВИЧ-позитивных среди потребителей наркотиков инъекционным способом в 2025 году составил 11,9%, в 2024 году – 11,7%. </w:t>
      </w:r>
      <w:r>
        <w:rPr>
          <w:sz w:val="24"/>
          <w:szCs w:val="24"/>
        </w:rPr>
      </w:r>
    </w:p>
    <w:p>
      <w:pPr>
        <w:spacing w:line="276" w:lineRule="auto"/>
        <w:ind w:firstLine="709"/>
        <w:rPr>
          <w:sz w:val="24"/>
          <w:szCs w:val="24"/>
        </w:rPr>
      </w:pPr>
      <w:r>
        <w:rPr>
          <w:color w:val="000000"/>
        </w:rPr>
        <w:t xml:space="preserve">Удельный вес потребителей психоактивных веществ инъекционным способом</w:t>
      </w:r>
      <w:r>
        <w:rPr>
          <w:color w:val="000000"/>
          <w:vertAlign w:val="superscript"/>
        </w:rPr>
        <w:footnoteReference w:id="33"/>
      </w:r>
      <w:r>
        <w:rPr>
          <w:color w:val="000000"/>
        </w:rPr>
        <w:t xml:space="preserve"> в общем числе зарегистрированных потребителей наркотических средств (число лиц с синдромом зависимости и с пагубным употреблением наркотиков) в 2025 году составил 6,8%, в 2024 году – 7,2%. </w:t>
      </w:r>
      <w:r>
        <w:rPr>
          <w:sz w:val="24"/>
          <w:szCs w:val="24"/>
        </w:rPr>
      </w:r>
    </w:p>
    <w:p>
      <w:pPr>
        <w:spacing w:line="276" w:lineRule="auto"/>
        <w:ind w:firstLine="709"/>
        <w:rPr>
          <w:sz w:val="24"/>
          <w:szCs w:val="24"/>
        </w:rPr>
      </w:pPr>
      <w:r>
        <w:rPr>
          <w:color w:val="000000"/>
        </w:rPr>
        <w:t xml:space="preserve">Таким образом, доля ВИЧ-инфицированных сред</w:t>
      </w:r>
      <w:r>
        <w:rPr>
          <w:color w:val="000000"/>
        </w:rPr>
        <w:t xml:space="preserve">и лиц, употребляющих наркотические средства, по сравнению с 2024 годом незначительно увеличилась на фоне снижения общего числа зарегистрированных потребителей наркотиков (на 3,8%) и изменений особенностей учета пациентов с наркологическими расстройствами. </w:t>
      </w:r>
      <w:r>
        <w:rPr>
          <w:sz w:val="24"/>
          <w:szCs w:val="24"/>
        </w:rPr>
      </w:r>
    </w:p>
    <w:p>
      <w:pPr>
        <w:spacing w:line="276" w:lineRule="auto"/>
        <w:ind w:firstLine="709"/>
        <w:rPr>
          <w:sz w:val="24"/>
          <w:szCs w:val="24"/>
        </w:rPr>
      </w:pPr>
      <w:r>
        <w:rPr>
          <w:color w:val="000000"/>
        </w:rPr>
        <w:t xml:space="preserve">В последнее десятилетие в наркологической ситуации в автономном округе определяется тенденция по употреблению синтетических наркотиков и их сочетаний, а также употребление опиоидных наркотиков.</w:t>
      </w:r>
      <w:r>
        <w:rPr>
          <w:sz w:val="24"/>
          <w:szCs w:val="24"/>
        </w:rPr>
      </w:r>
    </w:p>
    <w:p>
      <w:pPr>
        <w:spacing w:line="276" w:lineRule="auto"/>
        <w:ind w:firstLine="709"/>
        <w:rPr>
          <w:sz w:val="24"/>
          <w:szCs w:val="24"/>
        </w:rPr>
      </w:pPr>
      <w:r>
        <w:rPr>
          <w:color w:val="000000"/>
        </w:rPr>
        <w:t xml:space="preserve">В соответствии с новой формой федерального статистического наблюдения № 11 в 2025 году в структуре общей распространенности нарко</w:t>
      </w:r>
      <w:r>
        <w:rPr>
          <w:color w:val="000000"/>
        </w:rPr>
        <w:t xml:space="preserve">логических расстройств в связи с употреблением наркотических средств и других психоактивных веществ (рис. 11) доля расстройств, вызванных одновременным употреблением нескольких наркотических и использованием других психоактивных веществ, насчитывала 65,7%.</w:t>
      </w:r>
      <w:r>
        <w:rPr>
          <w:color w:val="000000"/>
        </w:rPr>
        <w:br/>
        <w:t xml:space="preserve">В 2024 году этот показатель составлял 58,0% и в нем учитывались лица с диагнозом «</w:t>
      </w:r>
      <w:r>
        <w:rPr>
          <w:color w:val="000000"/>
        </w:rPr>
        <w:t xml:space="preserve">полинаркомания</w:t>
      </w:r>
      <w:r>
        <w:rPr>
          <w:color w:val="000000"/>
        </w:rPr>
        <w:t xml:space="preserve">» только среди лиц с синдромом зависимости от </w:t>
      </w:r>
      <w:r>
        <w:rPr>
          <w:color w:val="000000"/>
        </w:rPr>
        <w:t xml:space="preserve">наркотических средств. В 2025 году доля расстройств, вызванных употреблением </w:t>
      </w:r>
      <w:r>
        <w:rPr>
          <w:color w:val="000000"/>
        </w:rPr>
        <w:t xml:space="preserve">опиоидов</w:t>
      </w:r>
      <w:r>
        <w:rPr>
          <w:color w:val="000000"/>
        </w:rPr>
        <w:t xml:space="preserve">, составила 18,3% (2024 г. – 25,6%); вызванных употреблением других </w:t>
      </w:r>
      <w:r>
        <w:rPr>
          <w:color w:val="000000"/>
        </w:rPr>
        <w:t xml:space="preserve">психостимуляторов</w:t>
      </w:r>
      <w:r>
        <w:rPr>
          <w:color w:val="000000"/>
        </w:rPr>
        <w:t xml:space="preserve"> – 9,3% (2024 г. – 10,1%); вызванных употреблением </w:t>
      </w:r>
      <w:r>
        <w:rPr>
          <w:color w:val="000000"/>
        </w:rPr>
        <w:t xml:space="preserve">каннабиноидов</w:t>
      </w:r>
      <w:r>
        <w:rPr>
          <w:color w:val="000000"/>
        </w:rPr>
        <w:t xml:space="preserve"> – 6,4% (2024 г. – 6,4%); вызванных употреблением седативных и снотворных средств – 0,3%  </w:t>
      </w:r>
      <w:r>
        <w:rPr>
          <w:color w:val="000000"/>
        </w:rPr>
        <w:br/>
        <w:t xml:space="preserve">(в 2024 г. показатель не учитывался).</w:t>
      </w:r>
      <w:r>
        <w:rPr>
          <w:sz w:val="24"/>
          <w:szCs w:val="24"/>
        </w:rPr>
      </w:r>
    </w:p>
    <w:p>
      <w:pPr>
        <w:spacing w:line="240" w:lineRule="auto"/>
        <w:ind w:firstLine="0"/>
        <w:jc w:val="center"/>
        <w:rPr>
          <w:sz w:val="24"/>
          <w:szCs w:val="24"/>
        </w:rPr>
      </w:pPr>
      <w:r>
        <w:rPr>
          <w:color w:val="000000"/>
          <w:sz w:val="32"/>
          <w:szCs w:val="32"/>
        </w:rPr>
        <mc:AlternateContent>
          <mc:Choice Requires="wpg">
            <w:drawing>
              <wp:inline xmlns:wp="http://schemas.openxmlformats.org/drawingml/2006/wordprocessingDrawing" distT="0" distB="0" distL="0" distR="0">
                <wp:extent cx="5953125" cy="2838450"/>
                <wp:effectExtent l="0" t="0" r="952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32"/>
                        <a:stretch/>
                      </pic:blipFill>
                      <pic:spPr bwMode="auto">
                        <a:xfrm>
                          <a:off x="0" y="0"/>
                          <a:ext cx="5953125" cy="2838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8.8pt;height:223.5pt;mso-wrap-distance-left:0.0pt;mso-wrap-distance-top:0.0pt;mso-wrap-distance-right:0.0pt;mso-wrap-distance-bottom:0.0pt;" stroked="f">
                <v:path textboxrect="0,0,0,0"/>
                <v:imagedata r:id="rId32" o:title=""/>
              </v:shape>
            </w:pict>
          </mc:Fallback>
        </mc:AlternateContent>
      </w:r>
      <w:r>
        <w:rPr>
          <w:sz w:val="24"/>
          <w:szCs w:val="24"/>
        </w:rPr>
      </w:r>
    </w:p>
    <w:p>
      <w:pPr>
        <w:widowControl w:val="off"/>
        <w:spacing w:line="240" w:lineRule="auto"/>
        <w:ind w:firstLine="0"/>
        <w:jc w:val="center"/>
      </w:pPr>
      <w:r>
        <w:rPr>
          <w:bCs/>
          <w:color w:val="000000"/>
        </w:rPr>
        <w:t xml:space="preserve">Рис. 11. Структура общей заболеваемости по классам </w:t>
      </w:r>
      <w:r>
        <w:rPr>
          <w:bCs/>
          <w:color w:val="000000"/>
        </w:rPr>
        <w:br/>
        <w:t xml:space="preserve">потребляемых наркотических средств в 2024-2025 гг. </w:t>
      </w:r>
      <w:r>
        <w:rPr>
          <w:bCs/>
          <w:color w:val="000000"/>
        </w:rPr>
        <w:br/>
        <w:t xml:space="preserve"> (в % от числа зарегистрированных наркопотребителей; </w:t>
      </w:r>
      <w:r>
        <w:rPr>
          <w:bCs/>
          <w:color w:val="000000"/>
        </w:rPr>
        <w:t xml:space="preserve">абс</w:t>
      </w:r>
      <w:r>
        <w:rPr>
          <w:bCs/>
          <w:color w:val="000000"/>
        </w:rPr>
        <w:t xml:space="preserve">.)</w:t>
      </w:r>
    </w:p>
    <w:p>
      <w:pPr>
        <w:spacing w:line="240"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color w:val="000000"/>
        </w:rPr>
        <w:t xml:space="preserve">Соотношение лиц, зарегистрированных с потреблением наркотических средств и психоактивных веществ с «синдромом зависимости» и «пагубным употреблением», по полу составило в 2025 году – </w:t>
      </w:r>
      <w:r>
        <w:rPr>
          <w:color w:val="000000"/>
        </w:rPr>
        <w:t xml:space="preserve">М :</w:t>
      </w:r>
      <w:r>
        <w:rPr>
          <w:color w:val="000000"/>
        </w:rPr>
        <w:t xml:space="preserve"> Ж = 4,7 : 1, в процентном соотношении 82,4% мужчин и 17,</w:t>
      </w:r>
      <w:r>
        <w:rPr>
          <w:color w:val="000000"/>
        </w:rPr>
        <w:t xml:space="preserve">6% женщин; в 2024 году – М : Ж = 4,5 : 1, в процентном соотношении 81,9% мужчин и 18,1% женщин. Данная динамика показывает сохранение доли женщин в числе потребителей наркотических средств и психоактивных веществ на фоне снижения их общего числа (рис. 12).</w:t>
      </w:r>
      <w:r>
        <w:rPr>
          <w:sz w:val="24"/>
          <w:szCs w:val="24"/>
        </w:rPr>
      </w:r>
    </w:p>
    <w:p>
      <w:pPr>
        <w:spacing w:line="240" w:lineRule="auto"/>
        <w:ind w:firstLine="0"/>
        <w:jc w:val="center"/>
        <w:rPr>
          <w:sz w:val="24"/>
          <w:szCs w:val="24"/>
        </w:rPr>
      </w:pPr>
      <w:r>
        <mc:AlternateContent>
          <mc:Choice Requires="wpg">
            <w:drawing>
              <wp:inline xmlns:wp="http://schemas.openxmlformats.org/drawingml/2006/wordprocessingDrawing" distT="0" distB="0" distL="0" distR="0">
                <wp:extent cx="5514975" cy="1876425"/>
                <wp:effectExtent l="0" t="0" r="9525" b="9525"/>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33"/>
                        <a:stretch/>
                      </pic:blipFill>
                      <pic:spPr bwMode="auto">
                        <a:xfrm>
                          <a:off x="0" y="0"/>
                          <a:ext cx="5514975" cy="1876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34.2pt;height:147.8pt;mso-wrap-distance-left:0.0pt;mso-wrap-distance-top:0.0pt;mso-wrap-distance-right:0.0pt;mso-wrap-distance-bottom:0.0pt;" stroked="f">
                <v:path textboxrect="0,0,0,0"/>
                <v:imagedata r:id="rId33" o:title=""/>
              </v:shape>
            </w:pict>
          </mc:Fallback>
        </mc:AlternateContent>
      </w:r>
      <w:r>
        <w:rPr>
          <w:sz w:val="24"/>
          <w:szCs w:val="24"/>
        </w:rPr>
      </w:r>
    </w:p>
    <w:p>
      <w:pPr>
        <w:widowControl w:val="off"/>
        <w:spacing w:line="240" w:lineRule="auto"/>
        <w:ind w:firstLine="0"/>
        <w:jc w:val="center"/>
      </w:pPr>
      <w:r>
        <w:rPr>
          <w:bCs/>
          <w:color w:val="000000"/>
        </w:rPr>
        <w:t xml:space="preserve">Рис. 12. Соотношение зарегистрированных потребителей </w:t>
      </w:r>
      <w:r>
        <w:rPr>
          <w:bCs/>
          <w:color w:val="000000"/>
        </w:rPr>
        <w:br/>
      </w:r>
      <w:r>
        <w:rPr>
          <w:bCs/>
          <w:color w:val="000000"/>
        </w:rPr>
        <w:t xml:space="preserve">наркотических средств и психоактивных веществ по полу в 2024-2025 гг.</w:t>
      </w:r>
      <w:r>
        <w:rPr>
          <w:bCs/>
          <w:color w:val="000000"/>
        </w:rPr>
        <w:br/>
        <w:t xml:space="preserve">(в % от общего числа; </w:t>
      </w:r>
      <w:r>
        <w:rPr>
          <w:bCs/>
          <w:color w:val="000000"/>
        </w:rPr>
        <w:t xml:space="preserve">абс</w:t>
      </w:r>
      <w:r>
        <w:rPr>
          <w:bCs/>
          <w:color w:val="000000"/>
        </w:rPr>
        <w:t xml:space="preserve">.)</w:t>
      </w:r>
    </w:p>
    <w:p>
      <w:pPr>
        <w:spacing w:line="276" w:lineRule="auto"/>
        <w:ind w:firstLine="709"/>
        <w:jc w:val="center"/>
        <w:rPr>
          <w:sz w:val="24"/>
          <w:szCs w:val="24"/>
        </w:rPr>
      </w:pPr>
      <w:r>
        <w:rPr>
          <w:sz w:val="24"/>
          <w:szCs w:val="24"/>
        </w:rPr>
      </w:r>
      <w:r>
        <w:rPr>
          <w:sz w:val="24"/>
          <w:szCs w:val="24"/>
        </w:rPr>
      </w:r>
    </w:p>
    <w:p>
      <w:pPr>
        <w:spacing w:line="276" w:lineRule="auto"/>
        <w:ind w:firstLine="709"/>
        <w:rPr>
          <w:sz w:val="24"/>
          <w:szCs w:val="24"/>
        </w:rPr>
      </w:pPr>
      <w:r>
        <w:rPr>
          <w:color w:val="000000"/>
        </w:rPr>
        <w:t xml:space="preserve">В общем числе потребителей </w:t>
      </w:r>
      <w:r>
        <w:rPr>
          <w:color w:val="000000"/>
        </w:rPr>
        <w:t xml:space="preserve">наркотических средств и психоактивных веществ отмечается прирост доли несовершеннолетних с 1,6% (в том числе дети – 0,4% и подростки 1,2%) в 2024 году до 2,3% в 2025 году, а также снижение в числе возрастной группы «18-34 лет». Данная динамика показывает, </w:t>
      </w:r>
      <w:r>
        <w:rPr>
          <w:color w:val="000000"/>
        </w:rPr>
        <w:t xml:space="preserve">в первую очередь, раннее выявление потребителей наркотических средств как следствие эффективного межведомственного взаимодействия, в том числе субъектов профилактики, а также «старение» зарегистрированных потребителей наркотических средств и ПАВ (рис. 13).</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3076575"/>
                <wp:effectExtent l="0" t="0" r="9525"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34"/>
                        <a:stretch/>
                      </pic:blipFill>
                      <pic:spPr bwMode="auto">
                        <a:xfrm>
                          <a:off x="0" y="0"/>
                          <a:ext cx="595312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8.8pt;height:242.2pt;mso-wrap-distance-left:0.0pt;mso-wrap-distance-top:0.0pt;mso-wrap-distance-right:0.0pt;mso-wrap-distance-bottom:0.0pt;" stroked="f">
                <v:path textboxrect="0,0,0,0"/>
                <v:imagedata r:id="rId34" o:title=""/>
              </v:shape>
            </w:pict>
          </mc:Fallback>
        </mc:AlternateContent>
      </w:r>
      <w:r>
        <w:rPr>
          <w:sz w:val="24"/>
          <w:szCs w:val="24"/>
        </w:rPr>
      </w:r>
    </w:p>
    <w:p>
      <w:pPr>
        <w:widowControl w:val="off"/>
        <w:spacing w:line="240" w:lineRule="auto"/>
        <w:ind w:firstLine="0"/>
        <w:jc w:val="center"/>
      </w:pPr>
      <w:r>
        <w:rPr>
          <w:bCs/>
          <w:color w:val="000000"/>
        </w:rPr>
        <w:t xml:space="preserve">Рис. 13. Соотношение зарегистрированных потребителей наркотических средств и психоактивных веществ по возрасту в 2024-2025 гг.</w:t>
      </w:r>
      <w:r>
        <w:rPr>
          <w:bCs/>
          <w:color w:val="000000"/>
        </w:rPr>
        <w:br/>
        <w:t xml:space="preserve">(в % от общего числа; </w:t>
      </w:r>
      <w:r>
        <w:rPr>
          <w:bCs/>
          <w:color w:val="000000"/>
        </w:rPr>
        <w:t xml:space="preserve">абс</w:t>
      </w:r>
      <w:r>
        <w:rPr>
          <w:bCs/>
          <w:color w:val="000000"/>
        </w:rPr>
        <w:t xml:space="preserve">.)</w:t>
      </w:r>
    </w:p>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color w:val="000000"/>
        </w:rPr>
        <w:t xml:space="preserve">В структуре первичной заболеваемости наркологических расстройств в связи с употреблением </w:t>
      </w:r>
      <w:r>
        <w:rPr>
          <w:color w:val="000000"/>
        </w:rPr>
        <w:t xml:space="preserve">наркотических средств и других психоактивных веществ (рис. 14) доля расстройств, вызванных одновременным употреблением нескольких наркотических и использованием других психоактивных веществ, насчитывала в 2025 году 74,3% (в 2024 году доля лиц с диагнозом «</w:t>
      </w:r>
      <w:r>
        <w:rPr>
          <w:color w:val="000000"/>
        </w:rPr>
        <w:t xml:space="preserve">полинаркомания</w:t>
      </w:r>
      <w:r>
        <w:rPr>
          <w:color w:val="000000"/>
        </w:rPr>
        <w:t xml:space="preserve">» только среди лиц с синдромом зависимости от наркотических средств составляла 71,4%). Доля расстройств, вызванных употреблением </w:t>
      </w:r>
      <w:r>
        <w:rPr>
          <w:color w:val="000000"/>
        </w:rPr>
        <w:t xml:space="preserve">опиоидов</w:t>
      </w:r>
      <w:r>
        <w:rPr>
          <w:color w:val="000000"/>
        </w:rPr>
        <w:t xml:space="preserve">, составила в 2025 году 3,4% (2024 г. – 4,4%); вызванных употреблением других </w:t>
      </w:r>
      <w:r>
        <w:rPr>
          <w:color w:val="000000"/>
        </w:rPr>
        <w:t xml:space="preserve">психостимуляторов</w:t>
      </w:r>
      <w:r>
        <w:rPr>
          <w:color w:val="000000"/>
        </w:rPr>
        <w:t xml:space="preserve"> – 12,0% (2024 г. – 18,7%); вызванных употреблением </w:t>
      </w:r>
      <w:r>
        <w:rPr>
          <w:color w:val="000000"/>
        </w:rPr>
        <w:t xml:space="preserve">каннабиноидов</w:t>
      </w:r>
      <w:r>
        <w:rPr>
          <w:color w:val="000000"/>
        </w:rPr>
        <w:t xml:space="preserve"> – 8,0%; (2024 г. – 5,5%); </w:t>
      </w:r>
      <w:r>
        <w:rPr>
          <w:color w:val="000000"/>
        </w:rPr>
        <w:t xml:space="preserve">вызванных употреблением седативных и снотворных средств – 2,3% </w:t>
      </w:r>
      <w:r>
        <w:rPr>
          <w:color w:val="000000"/>
        </w:rPr>
        <w:br/>
        <w:t xml:space="preserve">(в 2024 г. показатель не учитывался).</w:t>
      </w:r>
      <w:r>
        <w:rPr>
          <w:sz w:val="24"/>
          <w:szCs w:val="24"/>
        </w:rPr>
      </w:r>
    </w:p>
    <w:p>
      <w:pPr>
        <w:spacing w:line="276" w:lineRule="auto"/>
        <w:ind w:firstLine="709"/>
        <w:rPr>
          <w:sz w:val="24"/>
          <w:szCs w:val="24"/>
        </w:rPr>
      </w:pPr>
      <w:r>
        <w:rPr>
          <w:color w:val="000000"/>
        </w:rPr>
        <w:t xml:space="preserve">Таким образом, в 2025 году в сравнении с 2024 годом в структуре </w:t>
      </w:r>
      <w:r>
        <w:rPr>
          <w:color w:val="000000"/>
        </w:rPr>
        <w:t xml:space="preserve">наркопотребления</w:t>
      </w:r>
      <w:r>
        <w:rPr>
          <w:color w:val="000000"/>
        </w:rPr>
        <w:t xml:space="preserve"> среди лиц, выявленных впервые в жизни в связи</w:t>
      </w:r>
      <w:r>
        <w:rPr>
          <w:color w:val="000000"/>
        </w:rPr>
        <w:br/>
        <w:t xml:space="preserve"> с потреблением наркотических средств, на фоне увеличения их абсолютного числа отмечается уменьшение доли потребления других </w:t>
      </w:r>
      <w:r>
        <w:rPr>
          <w:color w:val="000000"/>
        </w:rPr>
        <w:t xml:space="preserve">психостимуляторов</w:t>
      </w:r>
      <w:r>
        <w:rPr>
          <w:color w:val="000000"/>
        </w:rPr>
        <w:t xml:space="preserve"> и </w:t>
      </w:r>
      <w:r>
        <w:rPr>
          <w:color w:val="000000"/>
        </w:rPr>
        <w:t xml:space="preserve">опиоидов</w:t>
      </w:r>
      <w:r>
        <w:rPr>
          <w:color w:val="000000"/>
        </w:rPr>
        <w:t xml:space="preserve"> и увеличение одновременного употребления нескольких наркотических средств.</w:t>
      </w:r>
      <w:r>
        <w:rPr>
          <w:sz w:val="24"/>
          <w:szCs w:val="24"/>
        </w:rPr>
        <w:t xml:space="preserve"> </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649603" cy="3100502"/>
                <wp:effectExtent l="0" t="0" r="8255" b="508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35"/>
                        <a:stretch/>
                      </pic:blipFill>
                      <pic:spPr bwMode="auto">
                        <a:xfrm>
                          <a:off x="0" y="0"/>
                          <a:ext cx="5661634" cy="31071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44.9pt;height:244.1pt;mso-wrap-distance-left:0.0pt;mso-wrap-distance-top:0.0pt;mso-wrap-distance-right:0.0pt;mso-wrap-distance-bottom:0.0pt;" stroked="f">
                <v:path textboxrect="0,0,0,0"/>
                <v:imagedata r:id="rId35" o:title=""/>
              </v:shape>
            </w:pict>
          </mc:Fallback>
        </mc:AlternateContent>
      </w:r>
      <w:r>
        <w:rPr>
          <w:sz w:val="24"/>
          <w:szCs w:val="24"/>
        </w:rPr>
      </w:r>
    </w:p>
    <w:p>
      <w:pPr>
        <w:widowControl w:val="off"/>
        <w:spacing w:line="240" w:lineRule="auto"/>
        <w:ind w:firstLine="0"/>
        <w:jc w:val="center"/>
      </w:pPr>
      <w:r>
        <w:rPr>
          <w:bCs/>
          <w:color w:val="000000"/>
        </w:rPr>
        <w:t xml:space="preserve">Рис. 14. Структура первичной заболеваемости по классам </w:t>
      </w:r>
      <w:r>
        <w:rPr>
          <w:bCs/>
          <w:color w:val="000000"/>
        </w:rPr>
        <w:br/>
        <w:t xml:space="preserve">потребляемых наркотических средств в 2024-2025 гг. </w:t>
      </w:r>
      <w:r>
        <w:rPr>
          <w:bCs/>
          <w:color w:val="000000"/>
        </w:rPr>
        <w:br/>
        <w:t xml:space="preserve">(в % от числа впервые в жизни зарегистрированных наркопотребителей; </w:t>
      </w:r>
      <w:r>
        <w:rPr>
          <w:bCs/>
          <w:color w:val="000000"/>
        </w:rPr>
        <w:t xml:space="preserve">абс</w:t>
      </w:r>
      <w:r>
        <w:rPr>
          <w:bCs/>
          <w:color w:val="000000"/>
        </w:rPr>
        <w:t xml:space="preserve">.)</w:t>
      </w:r>
    </w:p>
    <w:p>
      <w:pPr>
        <w:spacing w:line="271" w:lineRule="auto"/>
        <w:ind w:firstLine="709"/>
      </w:pPr>
      <w:r>
        <w:t xml:space="preserve"> </w:t>
      </w:r>
    </w:p>
    <w:p>
      <w:pPr>
        <w:spacing w:line="271" w:lineRule="auto"/>
        <w:ind w:firstLine="709"/>
        <w:rPr>
          <w:color w:val="000000"/>
        </w:rPr>
      </w:pPr>
      <w:r>
        <w:rPr>
          <w:color w:val="000000"/>
        </w:rPr>
        <w:t xml:space="preserve">Соотношение лиц, зарегистрированных впервые в жизни с потреблением наркотических средств и психоактивных веществ с «синдромом зависимости» и «пагубным употреблением», по полу составило в 2025 году – </w:t>
      </w:r>
      <w:r>
        <w:rPr>
          <w:color w:val="000000"/>
        </w:rPr>
        <w:t xml:space="preserve">М :</w:t>
      </w:r>
      <w:r>
        <w:rPr>
          <w:color w:val="000000"/>
        </w:rPr>
        <w:t xml:space="preserve"> Ж = 3,5 : 1, в процентном соотношении 77,8% мужчин и 22,2% женщин. В 2024 году соотношение – </w:t>
      </w:r>
      <w:r>
        <w:rPr>
          <w:color w:val="000000"/>
        </w:rPr>
        <w:t xml:space="preserve">М :</w:t>
      </w:r>
      <w:r>
        <w:rPr>
          <w:color w:val="000000"/>
        </w:rPr>
        <w:t xml:space="preserve"> Ж = 3,1 : 1, в процен</w:t>
      </w:r>
      <w:r>
        <w:rPr>
          <w:color w:val="000000"/>
        </w:rPr>
        <w:t xml:space="preserve">тном соотношении 75,5% мужчин и 24,5% женщин. Данная динамика отражает относительное сохранение доли женщин, в числе потребителей наркотических средств и психоактивных веществ на фоне общего снижения числа лиц, зарегистрированных впервые в жизни в связи с </w:t>
      </w:r>
      <w:r>
        <w:rPr>
          <w:color w:val="000000"/>
        </w:rPr>
        <w:t xml:space="preserve">наркопотреблением</w:t>
      </w:r>
      <w:r>
        <w:rPr>
          <w:color w:val="000000"/>
        </w:rPr>
        <w:t xml:space="preserve"> (рис. 15).</w:t>
      </w:r>
      <w:r>
        <w:rPr>
          <w:color w:val="000000"/>
        </w:rPr>
      </w:r>
    </w:p>
    <w:p>
      <w:pPr>
        <w:spacing w:line="276" w:lineRule="auto"/>
        <w:ind w:firstLine="0"/>
        <w:jc w:val="center"/>
      </w:pPr>
      <w:r>
        <mc:AlternateContent>
          <mc:Choice Requires="wpg">
            <w:drawing>
              <wp:inline xmlns:wp="http://schemas.openxmlformats.org/drawingml/2006/wordprocessingDrawing" distT="0" distB="0" distL="0" distR="0">
                <wp:extent cx="5514975" cy="1876425"/>
                <wp:effectExtent l="0" t="0" r="9525" b="9525"/>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36"/>
                        <a:stretch/>
                      </pic:blipFill>
                      <pic:spPr bwMode="auto">
                        <a:xfrm>
                          <a:off x="0" y="0"/>
                          <a:ext cx="5514975" cy="1876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34.2pt;height:147.8pt;mso-wrap-distance-left:0.0pt;mso-wrap-distance-top:0.0pt;mso-wrap-distance-right:0.0pt;mso-wrap-distance-bottom:0.0pt;" stroked="f">
                <v:path textboxrect="0,0,0,0"/>
                <v:imagedata r:id="rId36" o:title=""/>
              </v:shape>
            </w:pict>
          </mc:Fallback>
        </mc:AlternateContent>
      </w:r>
    </w:p>
    <w:p>
      <w:pPr>
        <w:widowControl w:val="off"/>
        <w:spacing w:line="240" w:lineRule="auto"/>
        <w:ind w:firstLine="0"/>
        <w:jc w:val="center"/>
      </w:pPr>
      <w:r>
        <w:rPr>
          <w:bCs/>
          <w:color w:val="000000"/>
        </w:rPr>
        <w:t xml:space="preserve">Рис. 15.</w:t>
      </w:r>
      <w:r>
        <w:rPr>
          <w:color w:val="000000"/>
        </w:rPr>
        <w:t xml:space="preserve"> </w:t>
      </w:r>
      <w:r>
        <w:rPr>
          <w:bCs/>
          <w:color w:val="000000"/>
        </w:rPr>
        <w:t xml:space="preserve">Соотношение зарегистрированных впервые в жизни потребителей наркотических средств и психоактивных веществ по полу в 2024-2025 гг.</w:t>
      </w:r>
      <w:r>
        <w:rPr>
          <w:bCs/>
          <w:color w:val="000000"/>
        </w:rPr>
        <w:br/>
        <w:t xml:space="preserve">(в % от числа впервые в жизни зарегистрированных; </w:t>
      </w:r>
      <w:r>
        <w:rPr>
          <w:bCs/>
          <w:color w:val="000000"/>
        </w:rPr>
        <w:t xml:space="preserve">абс</w:t>
      </w:r>
      <w:r>
        <w:rPr>
          <w:bCs/>
          <w:color w:val="000000"/>
        </w:rPr>
        <w:t xml:space="preserve">.)</w:t>
      </w:r>
    </w:p>
    <w:p>
      <w:pPr>
        <w:spacing w:line="276" w:lineRule="auto"/>
        <w:ind w:firstLine="709"/>
        <w:rPr>
          <w:color w:val="000000"/>
        </w:rPr>
      </w:pPr>
      <w:r>
        <w:rPr>
          <w:color w:val="000000"/>
        </w:rPr>
      </w:r>
      <w:r>
        <w:rPr>
          <w:color w:val="000000"/>
        </w:rPr>
      </w:r>
    </w:p>
    <w:p>
      <w:pPr>
        <w:spacing w:line="276" w:lineRule="auto"/>
        <w:ind w:firstLine="709"/>
        <w:rPr>
          <w:color w:val="000000"/>
          <w:highlight w:val="none"/>
        </w:rPr>
      </w:pPr>
      <w:r>
        <w:rPr>
          <w:color w:val="000000"/>
        </w:rPr>
        <w:t xml:space="preserve">В общем числе зарегистрированных впервые в жизни потребителей наркотических средств и психоактивных веществ отмечается прирост доли несовершеннолетних с 9,0% (в том числе дети – 2,1% и подростки – 6,9%) в 2024 году до 23,</w:t>
      </w:r>
      <w:r>
        <w:rPr>
          <w:color w:val="000000"/>
        </w:rPr>
        <w:t xml:space="preserve">9% в 2025 году, а также снижение в возрастной группе «18-34 лет». Данная динамика отражает повышение первичной обращаемости в рамках раннего выявления потребителей наркотических средств как результат межведомственного взаимодействия субъектов профилактики </w:t>
      </w:r>
      <w:r>
        <w:rPr>
          <w:color w:val="000000"/>
        </w:rPr>
        <w:br/>
        <w:t xml:space="preserve">(рис. 16).</w:t>
      </w:r>
      <w:r>
        <w:rPr>
          <w:color w:val="000000"/>
          <w:highlight w:val="none"/>
        </w:rPr>
      </w:r>
    </w:p>
    <w:p>
      <w:pPr>
        <w:spacing w:line="276" w:lineRule="auto"/>
        <w:ind w:firstLine="709"/>
        <w:rPr>
          <w:sz w:val="24"/>
          <w:szCs w:val="24"/>
        </w:rPr>
      </w:pPr>
      <w:r>
        <w:rPr>
          <w:color w:val="000000"/>
          <w:highlight w:val="none"/>
        </w:rPr>
      </w:r>
      <w:r>
        <w:rPr>
          <w:color w:val="000000"/>
          <w:highlight w:val="none"/>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3076575"/>
                <wp:effectExtent l="0" t="0" r="9525" b="952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r/>
                      </pic:nvPicPr>
                      <pic:blipFill>
                        <a:blip r:embed="rId37"/>
                        <a:stretch/>
                      </pic:blipFill>
                      <pic:spPr bwMode="auto">
                        <a:xfrm>
                          <a:off x="0" y="0"/>
                          <a:ext cx="595312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8.8pt;height:242.2pt;mso-wrap-distance-left:0.0pt;mso-wrap-distance-top:0.0pt;mso-wrap-distance-right:0.0pt;mso-wrap-distance-bottom:0.0pt;" stroked="f">
                <v:path textboxrect="0,0,0,0"/>
                <v:imagedata r:id="rId37" o:title=""/>
              </v:shape>
            </w:pict>
          </mc:Fallback>
        </mc:AlternateContent>
      </w:r>
      <w:r>
        <w:rPr>
          <w:sz w:val="24"/>
          <w:szCs w:val="24"/>
        </w:rPr>
      </w:r>
    </w:p>
    <w:p>
      <w:pPr>
        <w:widowControl w:val="off"/>
        <w:spacing w:line="240" w:lineRule="auto"/>
        <w:ind w:firstLine="0"/>
        <w:jc w:val="center"/>
      </w:pPr>
      <w:r>
        <w:rPr>
          <w:bCs/>
          <w:color w:val="000000"/>
        </w:rPr>
        <w:t xml:space="preserve">Рис. 16. Соотношение зарегистрированных впервые в жизни </w:t>
      </w:r>
      <w:r>
        <w:rPr>
          <w:bCs/>
          <w:color w:val="000000"/>
        </w:rPr>
        <w:br/>
        <w:t xml:space="preserve">потребителей наркотических средств и психоактивных веществ </w:t>
      </w:r>
      <w:r>
        <w:rPr>
          <w:bCs/>
          <w:color w:val="000000"/>
        </w:rPr>
        <w:br/>
        <w:t xml:space="preserve">по возрасту в 2024-2025 гг. </w:t>
      </w:r>
      <w:r>
        <w:rPr>
          <w:bCs/>
          <w:color w:val="000000"/>
        </w:rPr>
        <w:t xml:space="preserve">(в % от общего числа зарегистрированных впервые в жизни; </w:t>
      </w:r>
      <w:r>
        <w:rPr>
          <w:bCs/>
          <w:color w:val="000000"/>
        </w:rPr>
        <w:t xml:space="preserve">абс</w:t>
      </w:r>
      <w:r>
        <w:rPr>
          <w:bCs/>
          <w:color w:val="000000"/>
        </w:rPr>
        <w:t xml:space="preserve">.)</w:t>
      </w:r>
    </w:p>
    <w:p>
      <w:pPr>
        <w:widowControl w:val="off"/>
        <w:spacing w:line="276" w:lineRule="auto"/>
        <w:jc w:val="center"/>
      </w:pPr>
      <w:r>
        <w:t xml:space="preserve"> </w:t>
      </w:r>
    </w:p>
    <w:p>
      <w:pPr>
        <w:widowControl w:val="off"/>
        <w:spacing w:line="276" w:lineRule="auto"/>
        <w:ind w:firstLine="709"/>
        <w:rPr>
          <w:sz w:val="24"/>
          <w:szCs w:val="24"/>
        </w:rPr>
      </w:pPr>
      <w:r>
        <w:rPr>
          <w:color w:val="000000"/>
        </w:rPr>
        <w:t xml:space="preserve">В силу изменений и поправок к Порядку диспансерного наблюдения, </w:t>
      </w:r>
      <w:r>
        <w:rPr>
          <w:color w:val="000000"/>
        </w:rPr>
        <w:t xml:space="preserve">внесенных приказом Минздрава России от 30.07.2019 № 573н</w:t>
      </w:r>
      <w:r>
        <w:rPr>
          <w:color w:val="000000"/>
          <w:vertAlign w:val="superscript"/>
        </w:rPr>
        <w:footnoteReference w:id="34"/>
      </w:r>
      <w:r>
        <w:rPr>
          <w:color w:val="000000"/>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rPr>
          <w:sz w:val="24"/>
          <w:szCs w:val="24"/>
        </w:rPr>
      </w:r>
    </w:p>
    <w:p>
      <w:pPr>
        <w:widowControl w:val="off"/>
        <w:spacing w:line="276" w:lineRule="auto"/>
        <w:ind w:firstLine="709"/>
        <w:rPr>
          <w:sz w:val="24"/>
          <w:szCs w:val="24"/>
        </w:rPr>
      </w:pPr>
      <w:r>
        <w:rPr>
          <w:color w:val="000000"/>
        </w:rPr>
        <w:t xml:space="preserve">Статистический учет больных наркоманий, регламентированный приказом Минздрава России от 30.07.2019 № 573н, соответствует приказу </w:t>
      </w:r>
      <w:r>
        <w:rPr>
          <w:color w:val="000000"/>
        </w:rPr>
        <w:t xml:space="preserve">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rPr>
          <w:sz w:val="24"/>
          <w:szCs w:val="24"/>
        </w:rPr>
      </w:r>
    </w:p>
    <w:p>
      <w:pPr>
        <w:widowControl w:val="off"/>
        <w:spacing w:line="276" w:lineRule="auto"/>
        <w:ind w:firstLine="709"/>
        <w:rPr>
          <w:sz w:val="24"/>
          <w:szCs w:val="24"/>
        </w:rPr>
      </w:pPr>
      <w:r>
        <w:rPr>
          <w:color w:val="000000"/>
        </w:rPr>
        <w:t xml:space="preserve">Дополнительно в соответствии с действующим федеральным законода</w:t>
      </w:r>
      <w:r>
        <w:rPr>
          <w:color w:val="000000"/>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rPr>
          <w:sz w:val="24"/>
          <w:szCs w:val="24"/>
        </w:rPr>
      </w:r>
    </w:p>
    <w:p>
      <w:pPr>
        <w:widowControl w:val="off"/>
        <w:spacing w:line="276" w:lineRule="auto"/>
        <w:ind w:firstLine="709"/>
        <w:rPr>
          <w:color w:val="000000"/>
          <w:highlight w:val="none"/>
        </w:rPr>
      </w:pPr>
      <w:r>
        <w:rPr>
          <w:color w:val="000000"/>
        </w:rPr>
        <w:t xml:space="preserve">С диспансерного наблюдения в 2025 году снято 137 больных </w:t>
      </w:r>
      <w:r>
        <w:rPr>
          <w:color w:val="000000"/>
        </w:rPr>
        <w:br/>
        <w:t xml:space="preserve">с пагубным потреблением наркотических средств и психоактивных веществ, из них в связи с выздоровлением 80 чел. (58,4%), с переменой места жительства – 39 чел. (28,5%) и с отказом от диспансерного наблюдения – 18 чел. (13,1%). В 20</w:t>
      </w:r>
      <w:r>
        <w:rPr>
          <w:color w:val="000000"/>
        </w:rPr>
        <w:t xml:space="preserve">24 году снято 152 человека с пагубным потреблением наркотических средств и психоактивных веществ, из них в связи с выздоровлением 106 чел. (69,7%), по другим причинам (с переменой места жительства и с отказом от диспансерного наблюдения) – 46 чел. (30,3%, </w:t>
      </w:r>
      <w:r>
        <w:rPr>
          <w:color w:val="000000"/>
        </w:rPr>
        <w:br/>
        <w:t xml:space="preserve">рис. 17).</w:t>
      </w:r>
      <w:r>
        <w:rPr>
          <w:color w:val="000000"/>
          <w:highlight w:val="none"/>
        </w:rPr>
      </w:r>
    </w:p>
    <w:p>
      <w:pPr>
        <w:widowControl w:val="off"/>
        <w:spacing w:line="276" w:lineRule="auto"/>
        <w:ind w:firstLine="709"/>
        <w:rPr>
          <w:sz w:val="24"/>
          <w:szCs w:val="24"/>
        </w:rPr>
      </w:pPr>
      <w:r>
        <w:rPr>
          <w:color w:val="000000"/>
          <w:highlight w:val="none"/>
        </w:rPr>
      </w:r>
      <w:r>
        <w:rPr>
          <w:color w:val="000000"/>
          <w:highlight w:val="none"/>
        </w:rPr>
      </w:r>
    </w:p>
    <w:p>
      <w:pPr>
        <w:spacing w:line="240" w:lineRule="auto"/>
        <w:ind w:firstLine="0"/>
        <w:jc w:val="center"/>
      </w:pPr>
      <w:r>
        <w:rPr>
          <w:color w:val="000000"/>
        </w:rPr>
        <mc:AlternateContent>
          <mc:Choice Requires="wpg">
            <w:drawing>
              <wp:inline xmlns:wp="http://schemas.openxmlformats.org/drawingml/2006/wordprocessingDrawing" distT="0" distB="0" distL="0" distR="0">
                <wp:extent cx="5953125" cy="2752725"/>
                <wp:effectExtent l="0" t="0" r="9525" b="952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38"/>
                        <a:stretch/>
                      </pic:blipFill>
                      <pic:spPr bwMode="auto">
                        <a:xfrm>
                          <a:off x="0" y="0"/>
                          <a:ext cx="5953125" cy="2752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68.8pt;height:216.8pt;mso-wrap-distance-left:0.0pt;mso-wrap-distance-top:0.0pt;mso-wrap-distance-right:0.0pt;mso-wrap-distance-bottom:0.0pt;" stroked="f">
                <v:path textboxrect="0,0,0,0"/>
                <v:imagedata r:id="rId38" o:title=""/>
              </v:shape>
            </w:pict>
          </mc:Fallback>
        </mc:AlternateContent>
      </w:r>
    </w:p>
    <w:p>
      <w:pPr>
        <w:spacing w:line="240" w:lineRule="auto"/>
        <w:ind w:firstLine="0"/>
        <w:jc w:val="center"/>
        <w:rPr>
          <w:color w:val="000000"/>
          <w:highlight w:val="none"/>
        </w:rPr>
      </w:pPr>
      <w:r>
        <w:rPr>
          <w:bCs/>
          <w:color w:val="000000"/>
        </w:rPr>
        <w:t xml:space="preserve">Рис. 17. Причины снятия с наблюдения потребителей </w:t>
      </w:r>
      <w:r>
        <w:rPr>
          <w:bCs/>
          <w:color w:val="000000"/>
        </w:rPr>
        <w:br/>
        <w:t xml:space="preserve">с пагубным потреблением наркотических средств </w:t>
      </w:r>
      <w:r>
        <w:rPr>
          <w:bCs/>
          <w:color w:val="000000"/>
        </w:rPr>
        <w:br/>
        <w:t xml:space="preserve">и психоактивных веществ, в 2024-2025 гг. (%, </w:t>
      </w:r>
      <w:r>
        <w:rPr>
          <w:bCs/>
          <w:color w:val="000000"/>
        </w:rPr>
        <w:t xml:space="preserve">абс</w:t>
      </w:r>
      <w:r>
        <w:rPr>
          <w:bCs/>
          <w:color w:val="000000"/>
        </w:rPr>
        <w:t xml:space="preserve">.)</w:t>
      </w:r>
    </w:p>
    <w:p>
      <w:pPr>
        <w:widowControl w:val="off"/>
        <w:spacing w:line="276" w:lineRule="auto"/>
        <w:ind w:firstLine="709"/>
        <w:rPr>
          <w:sz w:val="24"/>
          <w:szCs w:val="24"/>
        </w:rPr>
      </w:pPr>
      <w:r>
        <w:rPr>
          <w:color w:val="000000"/>
        </w:rPr>
        <w:t xml:space="preserve">С диспансерного наблюдения в 2025 году снято 233 больных с синдромом зависимости от употребления наркотических средств и психоактивных</w:t>
      </w:r>
      <w:r>
        <w:rPr>
          <w:color w:val="000000"/>
        </w:rPr>
        <w:t xml:space="preserve"> веществ, из них в связи с выздоровлением 80 чел. (34,3%), со смертью – 71 чел. (30,5%), с переменой места жительства – 30 чел. (12,9%) и с отказом от диспансерного наблюдения – 52 чел. (22,3%). В 2024 году снято 243 человека с синдромом зависимости от упо</w:t>
      </w:r>
      <w:r>
        <w:rPr>
          <w:color w:val="000000"/>
        </w:rPr>
        <w:t xml:space="preserve">требления наркотических средств и психоактивных веществ, из них в связи с выздоровлением 82 чел. (33,7%), со смертью – 50 чел. (20,6%) и по другим причинам (с переменой места жительства и с отказом от диспансерного наблюдения) – 111 чел. (45,7%, рис. 18). </w:t>
      </w:r>
      <w:r>
        <w:rPr>
          <w:sz w:val="24"/>
          <w:szCs w:val="24"/>
        </w:rPr>
      </w:r>
    </w:p>
    <w:p>
      <w:pPr>
        <w:spacing w:line="240" w:lineRule="auto"/>
        <w:ind w:firstLine="0"/>
        <w:jc w:val="center"/>
        <w:rPr>
          <w:sz w:val="24"/>
          <w:szCs w:val="24"/>
        </w:rPr>
      </w:pPr>
      <w:r>
        <w:rPr>
          <w:color w:val="000000"/>
          <w:sz w:val="24"/>
          <w:szCs w:val="24"/>
        </w:rPr>
        <mc:AlternateContent>
          <mc:Choice Requires="wpg">
            <w:drawing>
              <wp:inline xmlns:wp="http://schemas.openxmlformats.org/drawingml/2006/wordprocessingDrawing" distT="0" distB="0" distL="0" distR="0">
                <wp:extent cx="5953125" cy="27813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r/>
                      </pic:nvPicPr>
                      <pic:blipFill>
                        <a:blip r:embed="rId39"/>
                        <a:stretch/>
                      </pic:blipFill>
                      <pic:spPr bwMode="auto">
                        <a:xfrm>
                          <a:off x="0" y="0"/>
                          <a:ext cx="5953125" cy="2781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68.8pt;height:219.0pt;mso-wrap-distance-left:0.0pt;mso-wrap-distance-top:0.0pt;mso-wrap-distance-right:0.0pt;mso-wrap-distance-bottom:0.0pt;" stroked="f">
                <v:path textboxrect="0,0,0,0"/>
                <v:imagedata r:id="rId39" o:title=""/>
              </v:shape>
            </w:pict>
          </mc:Fallback>
        </mc:AlternateContent>
      </w:r>
      <w:r>
        <w:rPr>
          <w:sz w:val="24"/>
          <w:szCs w:val="24"/>
        </w:rPr>
      </w:r>
    </w:p>
    <w:p>
      <w:pPr>
        <w:spacing w:line="240" w:lineRule="auto"/>
        <w:ind w:firstLine="0"/>
        <w:jc w:val="center"/>
      </w:pPr>
      <w:r>
        <w:rPr>
          <w:bCs/>
          <w:color w:val="000000"/>
        </w:rPr>
        <w:t xml:space="preserve">Рис. 18. Причины снятия с наблюдения потребителей с синдромом зависимости от употребления наркотических средств </w:t>
      </w:r>
      <w:r>
        <w:rPr>
          <w:bCs/>
          <w:color w:val="000000"/>
        </w:rPr>
        <w:br/>
        <w:t xml:space="preserve">и психоактивных веществ, в 2024-2025 гг. (%, </w:t>
      </w:r>
      <w:r>
        <w:rPr>
          <w:bCs/>
          <w:color w:val="000000"/>
        </w:rPr>
        <w:t xml:space="preserve">абс</w:t>
      </w:r>
      <w:r>
        <w:rPr>
          <w:bCs/>
          <w:color w:val="000000"/>
        </w:rPr>
        <w:t xml:space="preserve">.)</w:t>
      </w:r>
    </w:p>
    <w:p>
      <w:pPr>
        <w:spacing w:line="276" w:lineRule="auto"/>
        <w:ind w:firstLine="709"/>
        <w:jc w:val="center"/>
        <w:rPr>
          <w:sz w:val="24"/>
          <w:szCs w:val="24"/>
        </w:rPr>
      </w:pPr>
      <w:r>
        <w:rPr>
          <w:sz w:val="24"/>
          <w:szCs w:val="24"/>
        </w:rPr>
      </w:r>
      <w:r>
        <w:rPr>
          <w:sz w:val="24"/>
          <w:szCs w:val="24"/>
        </w:rPr>
      </w:r>
    </w:p>
    <w:p>
      <w:pPr>
        <w:spacing w:line="276" w:lineRule="auto"/>
        <w:ind w:firstLine="709"/>
        <w:jc w:val="center"/>
        <w:rPr>
          <w:sz w:val="24"/>
          <w:szCs w:val="24"/>
        </w:rPr>
      </w:pPr>
      <w:r>
        <w:rPr>
          <w:sz w:val="24"/>
          <w:szCs w:val="24"/>
        </w:rPr>
      </w:r>
      <w:r>
        <w:rPr>
          <w:sz w:val="24"/>
          <w:szCs w:val="24"/>
        </w:rPr>
      </w:r>
    </w:p>
    <w:p>
      <w:pPr>
        <w:spacing w:line="276" w:lineRule="auto"/>
        <w:ind w:firstLine="709"/>
        <w:rPr>
          <w:sz w:val="24"/>
          <w:szCs w:val="24"/>
        </w:rPr>
      </w:pPr>
      <w:r>
        <w:rPr>
          <w:color w:val="000000"/>
        </w:rPr>
        <w:t xml:space="preserve">В течение 2025 года обратились в связи с решением суда</w:t>
      </w:r>
      <w:r>
        <w:rPr>
          <w:color w:val="000000"/>
        </w:rPr>
        <w:br/>
        <w:t xml:space="preserve"> о назначении лечения 76 человек с синдромом зависимости от наркотических средств и 10 – в связи употреблением наркотических средств или психотропных веществ без назначения врача. Успешно закончено ле</w:t>
      </w:r>
      <w:r>
        <w:rPr>
          <w:color w:val="000000"/>
        </w:rPr>
        <w:t xml:space="preserve">чение у 21 человека с синдромом зависимости от наркотических средств из 63 завершивших его (33,3%) и 2 человека в связи употреблением наркотических средств или психотропных веществ без назначения врача из 3 завершивших его (66,7%). Прервали лечение и отказ</w:t>
      </w:r>
      <w:r>
        <w:rPr>
          <w:color w:val="000000"/>
        </w:rPr>
        <w:t xml:space="preserve">ались его проходить 41 человек с синдромом зависимости от наркотических средств (65,1%) и 1 человек в связи употреблением наркотических средств или психотропных веществ без назначения врача (33,3%). Продолжают исполнение решения суда 41 человек с синдромом</w:t>
      </w:r>
      <w:r>
        <w:rPr>
          <w:color w:val="000000"/>
        </w:rPr>
        <w:t xml:space="preserve"> зависимости от наркотических средств и 7 человек в связи употреблением наркотических средств или психотропных веществ без назначения врача. Кроме того, 53 пациента прошли обследование по решению суда, но которым не был установлен наркологический диагноз. </w:t>
      </w:r>
      <w:r>
        <w:rPr>
          <w:sz w:val="24"/>
          <w:szCs w:val="24"/>
        </w:rPr>
      </w:r>
    </w:p>
    <w:p>
      <w:pPr>
        <w:spacing w:line="276" w:lineRule="auto"/>
        <w:ind w:firstLine="709"/>
        <w:rPr>
          <w:sz w:val="24"/>
          <w:szCs w:val="24"/>
        </w:rPr>
      </w:pPr>
      <w:r>
        <w:rPr>
          <w:color w:val="000000"/>
        </w:rPr>
        <w:t xml:space="preserve">В 2024 году обратились в связи с решением суда о назначении обязательного или альтернативного лечения 87 человек с синдромом зависимости от наркотиков. Успешно закончивших такое лечен</w:t>
      </w:r>
      <w:r>
        <w:rPr>
          <w:color w:val="000000"/>
        </w:rPr>
        <w:t xml:space="preserve">ие – 83 человека или 78,3%, от числа прекративших обязательное или альтернативное лечение – 106 чел. Прервавших лечение и отказавшихся его проходить – 23 человека (21,7% от количества окончивших лечение). Продолжили лечение на конец 2024 года – 28 человек.</w:t>
      </w:r>
      <w:r>
        <w:rPr>
          <w:sz w:val="24"/>
          <w:szCs w:val="24"/>
        </w:rPr>
      </w:r>
    </w:p>
    <w:p>
      <w:pPr>
        <w:widowControl w:val="off"/>
        <w:spacing w:line="276" w:lineRule="auto"/>
        <w:ind w:firstLine="709"/>
      </w:pPr>
    </w:p>
    <w:p>
      <w:pPr>
        <w:spacing w:line="276" w:lineRule="auto"/>
        <w:ind w:firstLine="709"/>
        <w:rPr>
          <w:i/>
        </w:rPr>
      </w:pPr>
      <w:r>
        <w:rPr>
          <w:b/>
          <w:bCs/>
          <w:i/>
          <w:color w:val="000000"/>
        </w:rPr>
        <w:t xml:space="preserve">Анализ ситуации по острым отравлениям и смертности от потребления наркотиков, в том числе среди несовершеннолетних</w:t>
      </w:r>
      <w:r>
        <w:rPr>
          <w:i/>
        </w:rPr>
      </w:r>
    </w:p>
    <w:p>
      <w:pPr>
        <w:spacing w:line="276" w:lineRule="auto"/>
        <w:ind w:firstLine="709"/>
      </w:pPr>
      <w:r>
        <w:t xml:space="preserve"> </w:t>
      </w:r>
      <w:r>
        <w:rPr>
          <w:color w:val="000000"/>
        </w:rPr>
        <w:t xml:space="preserve">По данным казенного учреждения Ханты-Мансийского автономного округа – Югры «Бюро судебно-медицинской эксп</w:t>
      </w:r>
      <w:r>
        <w:rPr>
          <w:color w:val="000000"/>
        </w:rPr>
        <w:t xml:space="preserve">ертизы», зафиксированы 51 случай смертельных отравлений от наркотических средств и психотропных веществ за 2025 год (2,9 на 100 тысяч населения), что меньше на 8 случаев, чем в 2024 году (59 случаев, 3,3 на 100 тысяч населения), сокращение составило 12,1%.</w:t>
      </w:r>
    </w:p>
    <w:p>
      <w:pPr>
        <w:spacing w:line="276" w:lineRule="auto"/>
        <w:ind w:firstLine="709"/>
      </w:pPr>
      <w:r>
        <w:rPr>
          <w:color w:val="000000"/>
        </w:rPr>
        <w:t xml:space="preserve">Количество смертельных отравлений от действия наркотических средств в 2025 году насчитывало 51 случай, из них 39 случаев отравлений наркотическими средствами опиоидной группы, в том числе </w:t>
      </w:r>
      <w:r>
        <w:rPr>
          <w:color w:val="000000"/>
        </w:rPr>
        <w:t xml:space="preserve">метадоном</w:t>
      </w:r>
      <w:r>
        <w:rPr>
          <w:color w:val="000000"/>
        </w:rPr>
        <w:t xml:space="preserve"> (38 случаев, шифр по МКБ-10 T40.3) и другими </w:t>
      </w:r>
      <w:r>
        <w:rPr>
          <w:color w:val="000000"/>
        </w:rPr>
        <w:t xml:space="preserve">опиоидами</w:t>
      </w:r>
      <w:r>
        <w:rPr>
          <w:color w:val="000000"/>
        </w:rPr>
        <w:t xml:space="preserve"> (1 случай, шифр по </w:t>
      </w:r>
      <w:r>
        <w:rPr>
          <w:color w:val="000000"/>
        </w:rPr>
        <w:t xml:space="preserve">МКБ-10 T40.2), в их числе отравление кодеином, морфином и </w:t>
      </w:r>
      <w:r>
        <w:rPr>
          <w:color w:val="000000"/>
        </w:rPr>
        <w:t xml:space="preserve">дезоморфином</w:t>
      </w:r>
      <w:r>
        <w:rPr>
          <w:color w:val="000000"/>
        </w:rPr>
        <w:t xml:space="preserve">; 12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2025 году не зафиксировано.</w:t>
      </w:r>
    </w:p>
    <w:p>
      <w:pPr>
        <w:spacing w:line="276" w:lineRule="auto"/>
        <w:ind w:firstLine="709"/>
      </w:pPr>
      <w:r>
        <w:rPr>
          <w:color w:val="000000"/>
        </w:rPr>
        <w:t xml:space="preserve">Количество смертельных отравлений от действия наркотических средств в 2024 году составило 57 случаев, из них 49 случаев отравлений наркотическими средствами опиоидной группы, в том числе </w:t>
      </w:r>
      <w:r>
        <w:rPr>
          <w:color w:val="000000"/>
        </w:rPr>
        <w:t xml:space="preserve">метадоном</w:t>
      </w:r>
      <w:r>
        <w:rPr>
          <w:color w:val="000000"/>
        </w:rPr>
        <w:t xml:space="preserve"> (48 случаев, шифр по МКБ-10 T40.3) и другими </w:t>
      </w:r>
      <w:r>
        <w:rPr>
          <w:color w:val="000000"/>
        </w:rPr>
        <w:t xml:space="preserve">опиоидами</w:t>
      </w:r>
      <w:r>
        <w:rPr>
          <w:color w:val="000000"/>
        </w:rPr>
        <w:t xml:space="preserve"> (1 случай, шифр по МКБ-10 T40.2), в их числе отравление кодеином, морфином и </w:t>
      </w:r>
      <w:r>
        <w:rPr>
          <w:color w:val="000000"/>
        </w:rPr>
        <w:t xml:space="preserve">дезоморфином</w:t>
      </w:r>
      <w:r>
        <w:rPr>
          <w:color w:val="000000"/>
        </w:rPr>
        <w:t xml:space="preserve">; 8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2024 году – 2 случая.</w:t>
      </w:r>
    </w:p>
    <w:p>
      <w:pPr>
        <w:widowControl w:val="off"/>
        <w:spacing w:line="276" w:lineRule="auto"/>
        <w:ind w:firstLine="709"/>
        <w:rPr>
          <w:color w:val="000000"/>
          <w:highlight w:val="none"/>
        </w:rPr>
      </w:pPr>
      <w:r>
        <w:rPr>
          <w:color w:val="000000"/>
        </w:rPr>
        <w:t xml:space="preserve">Наибольшее число отравлений за истекший период зафиксировано в </w:t>
      </w:r>
      <w:r>
        <w:rPr>
          <w:color w:val="000000"/>
        </w:rPr>
        <w:br/>
        <w:t xml:space="preserve">городах Сургут (24 случая; 2024 г. – 26 случаев, снижение 8,2%) и Нижневартовск (12 случаев; 2024 г. – 11 случаев, увеличение на 7,9%); в Сургутском районе (5 случаев; АППГ</w:t>
      </w:r>
      <w:r>
        <w:rPr>
          <w:rStyle w:val="1618"/>
          <w:color w:val="000000"/>
        </w:rPr>
        <w:footnoteReference w:id="35"/>
      </w:r>
      <w:r>
        <w:rPr>
          <w:color w:val="000000"/>
        </w:rPr>
        <w:t xml:space="preserve"> – 4 случая).</w:t>
      </w:r>
    </w:p>
    <w:p>
      <w:pPr>
        <w:widowControl w:val="off"/>
        <w:spacing w:line="276" w:lineRule="auto"/>
        <w:ind w:firstLine="709"/>
      </w:pPr>
    </w:p>
    <w:p>
      <w:pPr>
        <w:widowControl w:val="off"/>
        <w:spacing w:line="276" w:lineRule="auto"/>
        <w:ind w:firstLine="709"/>
      </w:pPr>
      <w:r>
        <w:rPr>
          <w:color w:val="000000"/>
          <w:highlight w:val="none"/>
        </w:rPr>
      </w:r>
      <w:r>
        <w:rPr>
          <w:color w:val="000000"/>
          <w:highlight w:val="none"/>
        </w:rPr>
      </w:r>
    </w:p>
    <w:p>
      <w:pPr>
        <w:widowControl w:val="off"/>
        <w:spacing w:line="276" w:lineRule="auto"/>
        <w:ind w:firstLine="709"/>
      </w:pPr>
      <w:r>
        <w:rPr>
          <w:color w:val="000000"/>
        </w:rPr>
        <w:t xml:space="preserve">За 12 месяцев 2025 года умерли от употребления наркотических средств 49</w:t>
      </w:r>
      <w:r>
        <w:rPr>
          <w:color w:val="000000"/>
        </w:rPr>
        <w:t xml:space="preserve"> мужчин (96,1%) и 2 женщины (3,9%), соотношение по полу мужчин и женщин составило 24,5:1. Среди лиц, умерших от отравлений наркотическими средствами и психотропными веществами за 12 месяцев 2024 года соотношение по полу мужчин и женщин составляло – 8,8:1. </w:t>
      </w:r>
    </w:p>
    <w:p>
      <w:pPr>
        <w:widowControl w:val="off"/>
        <w:spacing w:line="276" w:lineRule="auto"/>
        <w:ind w:firstLine="709"/>
      </w:pPr>
      <w:r>
        <w:rPr>
          <w:color w:val="000000"/>
        </w:rPr>
        <w:t xml:space="preserve">За 2024-2025 годы случаев смертельных отравлений наркотическими средствами среди несовершеннолетних лиц по данным подсистемы «</w:t>
      </w:r>
      <w:r>
        <w:rPr>
          <w:color w:val="000000"/>
        </w:rPr>
        <w:t xml:space="preserve">УСиР</w:t>
      </w:r>
      <w:r>
        <w:rPr>
          <w:color w:val="000000"/>
        </w:rPr>
        <w:t xml:space="preserve">» не зарегистрировано. </w:t>
      </w:r>
    </w:p>
    <w:p>
      <w:pPr>
        <w:widowControl w:val="off"/>
        <w:spacing w:line="276" w:lineRule="auto"/>
        <w:ind w:firstLine="709"/>
      </w:pPr>
      <w:r>
        <w:rPr>
          <w:color w:val="000000"/>
        </w:rPr>
        <w:t xml:space="preserve">Средний возраст отравившихся наркотическими средствами и психотропными веществами за 12 месяцев 2025 года составляет 37,3±8,5 лет; средний возраст умерших за 12 месяцев 2024 года составил 38,5±6,5 лет.</w:t>
      </w:r>
    </w:p>
    <w:p>
      <w:pPr>
        <w:widowControl w:val="off"/>
        <w:spacing w:line="276" w:lineRule="auto"/>
        <w:ind w:firstLine="709"/>
      </w:pPr>
      <w:r>
        <w:rPr>
          <w:color w:val="000000"/>
        </w:rPr>
        <w:t xml:space="preserve">При сравнении сведений с медицинскими информационными системами медицинских организаций установлено, что 8 человек из числа отравившихся наркотическими веществами за 12 месяцев 2025 года (15,7%) имели выявленное наркологическое расст</w:t>
      </w:r>
      <w:r>
        <w:rPr>
          <w:color w:val="000000"/>
        </w:rPr>
        <w:t xml:space="preserve">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15 человек имели выявленное наркологическое расстройство (25,4%). </w:t>
      </w:r>
    </w:p>
    <w:p>
      <w:pPr>
        <w:widowControl w:val="off"/>
        <w:spacing w:line="276" w:lineRule="auto"/>
        <w:ind w:firstLine="709"/>
      </w:pPr>
      <w:r>
        <w:rPr>
          <w:color w:val="000000"/>
        </w:rPr>
        <w:t xml:space="preserve">По семейному положению: в 35 случаях погибшие за 12 месяцев 2025 года не состояли в браке (68,6%), в 12 случаях – состояли в браке</w:t>
      </w:r>
      <w:r>
        <w:rPr>
          <w:color w:val="000000"/>
        </w:rPr>
        <w:br/>
      </w:r>
      <w:r>
        <w:rPr>
          <w:color w:val="000000"/>
        </w:rPr>
        <w:t xml:space="preserve"> (23,5%), в отношении 4 человек – нет данных (7,8%); за 12 месяцев</w:t>
      </w:r>
      <w:r>
        <w:rPr>
          <w:color w:val="000000"/>
        </w:rPr>
        <w:br/>
        <w:t xml:space="preserve"> 2024 года – в 12 случаях погибшие состояли в браке (20,3%), в 37 случаях не состояли в браке (62,7%), в отношении 10 человек – нет данных (16,9%).</w:t>
      </w:r>
    </w:p>
    <w:p>
      <w:pPr>
        <w:widowControl w:val="off"/>
        <w:spacing w:line="276" w:lineRule="auto"/>
        <w:ind w:firstLine="709"/>
      </w:pPr>
      <w:r>
        <w:rPr>
          <w:color w:val="000000"/>
        </w:rPr>
        <w:t xml:space="preserve">По уровню образования: профессиональное </w:t>
      </w:r>
      <w:r>
        <w:rPr>
          <w:color w:val="000000"/>
        </w:rPr>
        <w:t xml:space="preserve">среднее образование имели 17 погибших (33,3%); общее среднее (полное) – 27 человек (52,9%). За 12 месяцев 2024 профессиональное среднее образование имели 24 человека (40,7%); общее среднее (полное) – 14 погибших (23,7%); общее основное – 9 человек (15,3%).</w:t>
      </w:r>
    </w:p>
    <w:p>
      <w:pPr>
        <w:widowControl w:val="off"/>
        <w:spacing w:line="276" w:lineRule="auto"/>
        <w:ind w:firstLine="709"/>
      </w:pPr>
      <w:r>
        <w:rPr>
          <w:color w:val="000000"/>
        </w:rPr>
        <w:t xml:space="preserve">По трудовой занятости: 24 человека (47,1%) были заняты трудовой деятельностью, 25 чел. – неработающие (49,0%), в 2 случаях данные</w:t>
      </w:r>
      <w:r>
        <w:rPr>
          <w:color w:val="000000"/>
        </w:rPr>
        <w:br/>
        <w:t xml:space="preserve"> о трудовой деятельности отсутствуют (3,9%). За 12 месяцев 2024 года</w:t>
      </w:r>
      <w:r>
        <w:rPr>
          <w:color w:val="000000"/>
        </w:rPr>
        <w:br/>
        <w:t xml:space="preserve"> 30 человек (50,8%) – неработающие; 23 человека были заняты трудовой деятельностью (39,0%), в 6 случаях данные о трудовой деятельности отсутствуют (10,2%).</w:t>
      </w:r>
    </w:p>
    <w:p>
      <w:pPr>
        <w:widowControl w:val="off"/>
        <w:spacing w:line="276" w:lineRule="auto"/>
        <w:ind w:firstLine="709"/>
      </w:pPr>
      <w:r>
        <w:rPr>
          <w:color w:val="000000"/>
        </w:rPr>
        <w:t xml:space="preserve">За 12 месяцев 2025 года основными потребителями наркотиков опиоидной группы с летальным исходом (76,5%) являются мужчины (96,1%), преимущественно жители автономного округа (70,6%), не состоящие в браке (</w:t>
      </w:r>
      <w:r>
        <w:rPr>
          <w:color w:val="000000"/>
        </w:rPr>
        <w:t xml:space="preserve">68,6%), имеющие профессиональное среднее или общее среднее (полное) образование (86,3%), не работавшие (49,0%), среднего возраста 37,3±8,5 лет, не имевшие ранее выявленное наркологическое расстройство в связи с употреблением наркотических средств (84,3%). </w:t>
      </w:r>
    </w:p>
    <w:p>
      <w:pPr>
        <w:widowControl w:val="off"/>
        <w:spacing w:line="276" w:lineRule="auto"/>
        <w:ind w:firstLine="709"/>
        <w:rPr>
          <w:highlight w:val="yellow"/>
        </w:rPr>
      </w:pPr>
      <w:r>
        <w:rPr>
          <w:highlight w:val="yellow"/>
        </w:rPr>
      </w:r>
      <w:r>
        <w:rPr>
          <w:highlight w:val="yellow"/>
        </w:rPr>
      </w:r>
    </w:p>
    <w:p>
      <w:pPr>
        <w:spacing w:line="276" w:lineRule="auto"/>
        <w:ind w:firstLine="709"/>
        <w:rPr>
          <w:i/>
        </w:rPr>
      </w:pPr>
      <w:r>
        <w:rPr>
          <w:b/>
          <w:bCs/>
          <w:i/>
          <w:color w:val="000000"/>
        </w:rPr>
        <w:t xml:space="preserve">Анализ и оценка факторов, причин и условий, оказывающих влияние на наркотизацию населения автономного округа</w:t>
      </w:r>
      <w:r>
        <w:rPr>
          <w:i/>
        </w:rPr>
      </w:r>
    </w:p>
    <w:p>
      <w:pPr>
        <w:spacing w:line="276" w:lineRule="auto"/>
        <w:ind w:firstLine="709"/>
      </w:pPr>
      <w:r>
        <w:t xml:space="preserve"> </w:t>
      </w:r>
      <w:r>
        <w:rPr>
          <w:color w:val="000000"/>
        </w:rPr>
        <w:t xml:space="preserve">Основными факторами, влияющими на распространение </w:t>
      </w:r>
      <w:r>
        <w:rPr>
          <w:color w:val="000000"/>
        </w:rPr>
        <w:t xml:space="preserve">наркопотребления</w:t>
      </w:r>
      <w:r>
        <w:rPr>
          <w:color w:val="000000"/>
        </w:rPr>
        <w:t xml:space="preserve"> и </w:t>
      </w:r>
      <w:r>
        <w:rPr>
          <w:color w:val="000000"/>
        </w:rPr>
        <w:t xml:space="preserve">наркопреступности</w:t>
      </w:r>
      <w:r>
        <w:rPr>
          <w:color w:val="000000"/>
        </w:rPr>
        <w:t xml:space="preserve"> в Ханты-Мансийском автономном округе – Югре, остаются:</w:t>
      </w:r>
    </w:p>
    <w:p>
      <w:pPr>
        <w:spacing w:line="276" w:lineRule="auto"/>
        <w:ind w:firstLine="709"/>
      </w:pPr>
      <w:r>
        <w:rPr>
          <w:color w:val="000000"/>
        </w:rPr>
        <w:t xml:space="preserve">- 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p>
    <w:p>
      <w:pPr>
        <w:spacing w:line="276" w:lineRule="auto"/>
        <w:ind w:firstLine="709"/>
      </w:pPr>
      <w:r>
        <w:rPr>
          <w:color w:val="000000"/>
        </w:rPr>
        <w:t xml:space="preserve">- прибытие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p>
    <w:p>
      <w:pPr>
        <w:spacing w:line="276" w:lineRule="auto"/>
        <w:ind w:firstLine="709"/>
      </w:pPr>
      <w:r>
        <w:rPr>
          <w:color w:val="000000"/>
        </w:rPr>
        <w:t xml:space="preserve">- высокая доля городского населения (92,4%). Преобладание городского населения создает более благоприятные условия для наркоторговли и употребления психоактивных веществ в условиях относительной анонимности и доступности;</w:t>
      </w:r>
    </w:p>
    <w:p>
      <w:pPr>
        <w:spacing w:line="276" w:lineRule="auto"/>
        <w:ind w:firstLine="709"/>
      </w:pPr>
      <w:r>
        <w:rPr>
          <w:color w:val="000000"/>
        </w:rPr>
        <w:t xml:space="preserve">- развитая инфраструктура и транспортн</w:t>
      </w:r>
      <w:r>
        <w:rPr>
          <w:color w:val="000000"/>
        </w:rPr>
        <w:t xml:space="preserve">о-логистическая сеть. Наличие хорошо развитой инфраструктуры, включая автомобильные дороги и железнодорожные пути, облегчает транспортировку наркотических средств и психоактивных веществ и способствует их распространению, особенно в крупных городах округа.</w:t>
      </w:r>
    </w:p>
    <w:p>
      <w:pPr>
        <w:spacing w:line="276" w:lineRule="auto"/>
        <w:ind w:firstLine="709"/>
      </w:pPr>
      <w:r>
        <w:rPr>
          <w:color w:val="000000"/>
        </w:rPr>
        <w:t xml:space="preserve">Эти факторы создают сложную среду, требующую комплексного и многоуровневого подхода к профилактике и борьбе с наркоманией и </w:t>
      </w:r>
      <w:r>
        <w:rPr>
          <w:color w:val="000000"/>
        </w:rPr>
        <w:t xml:space="preserve">наркопреступностью</w:t>
      </w:r>
      <w:r>
        <w:rPr>
          <w:color w:val="000000"/>
        </w:rPr>
        <w:t xml:space="preserve">, включая усиление контроля, профилактические мероприятия и повышение осведомленности населения.</w:t>
      </w:r>
    </w:p>
    <w:p>
      <w:pPr>
        <w:spacing w:line="276" w:lineRule="auto"/>
        <w:ind w:firstLine="709"/>
      </w:pPr>
      <w:r>
        <w:rPr>
          <w:color w:val="000000"/>
        </w:rPr>
        <w:t xml:space="preserve">Увеличение первичной заболеваемости наркоманиями зафиксировано в следующих муниципальных образованиях автономного округа: в городах </w:t>
      </w:r>
      <w:r>
        <w:rPr>
          <w:color w:val="000000"/>
        </w:rPr>
        <w:t xml:space="preserve">Пыть-Ях</w:t>
      </w:r>
      <w:r>
        <w:rPr>
          <w:color w:val="000000"/>
        </w:rPr>
        <w:t xml:space="preserve"> – с 0 случаев в 2024 году до 2-х новых случаев в 2025 году; Когалым – с 1 до 2-х случаев; </w:t>
      </w:r>
      <w:r>
        <w:rPr>
          <w:color w:val="000000"/>
        </w:rPr>
        <w:t xml:space="preserve">Лангепас</w:t>
      </w:r>
      <w:r>
        <w:rPr>
          <w:color w:val="000000"/>
        </w:rPr>
        <w:t xml:space="preserve"> – с 2 до 3-х случаев; Нягань – с 3 до 4-х случаев; Радужный – с 0 до 1-го случая; </w:t>
      </w:r>
      <w:r>
        <w:rPr>
          <w:color w:val="000000"/>
        </w:rPr>
        <w:t xml:space="preserve">Югорск</w:t>
      </w:r>
      <w:r>
        <w:rPr>
          <w:color w:val="000000"/>
        </w:rPr>
        <w:t xml:space="preserve"> – с 0 до 1-го случая; в Советском районе – с 3 до 4-х случаев.</w:t>
      </w:r>
    </w:p>
    <w:p>
      <w:pPr>
        <w:spacing w:line="276" w:lineRule="auto"/>
        <w:ind w:firstLine="709"/>
      </w:pPr>
      <w:r>
        <w:rPr>
          <w:color w:val="000000"/>
        </w:rPr>
        <w:t xml:space="preserve">В г. Урай и Ханты-Мансийском районе сохраняется первичная заболеваемость наркоманиями на уровне 2024 года (7,3 на 100 тысяч населения, </w:t>
      </w:r>
      <w:r>
        <w:rPr>
          <w:color w:val="000000"/>
        </w:rPr>
        <w:t xml:space="preserve">абс</w:t>
      </w:r>
      <w:r>
        <w:rPr>
          <w:color w:val="000000"/>
        </w:rPr>
        <w:t xml:space="preserve">. 3 для </w:t>
      </w:r>
      <w:r>
        <w:rPr>
          <w:color w:val="000000"/>
        </w:rPr>
        <w:t xml:space="preserve">Урая</w:t>
      </w:r>
      <w:r>
        <w:rPr>
          <w:color w:val="000000"/>
        </w:rPr>
        <w:t xml:space="preserve">) и (5,2 на 100 тысяч населения, </w:t>
      </w:r>
      <w:r>
        <w:rPr>
          <w:color w:val="000000"/>
        </w:rPr>
        <w:t xml:space="preserve">абс</w:t>
      </w:r>
      <w:r>
        <w:rPr>
          <w:color w:val="000000"/>
        </w:rPr>
        <w:t xml:space="preserve">. 1 для Ханты-Мансийского района).</w:t>
      </w:r>
    </w:p>
    <w:p>
      <w:pPr>
        <w:spacing w:line="276" w:lineRule="auto"/>
        <w:ind w:firstLine="709"/>
      </w:pPr>
      <w:r>
        <w:rPr>
          <w:color w:val="000000"/>
        </w:rPr>
        <w:t xml:space="preserve">В г. </w:t>
      </w:r>
      <w:r>
        <w:rPr>
          <w:color w:val="000000"/>
        </w:rPr>
        <w:t xml:space="preserve">Покачи</w:t>
      </w:r>
      <w:r>
        <w:rPr>
          <w:color w:val="000000"/>
        </w:rPr>
        <w:t xml:space="preserve">, а также в Белоярском, Березовском, </w:t>
      </w:r>
      <w:r>
        <w:rPr>
          <w:color w:val="000000"/>
        </w:rPr>
        <w:t xml:space="preserve">Кондинском</w:t>
      </w:r>
      <w:r>
        <w:rPr>
          <w:color w:val="000000"/>
        </w:rPr>
        <w:t xml:space="preserve">, Нефтеюганском и Октябрьском районах первичная заболеваемость наркоманиями в 2025 и 2024 годах не зарегистрирована.</w:t>
      </w:r>
    </w:p>
    <w:p>
      <w:pPr>
        <w:spacing w:line="276" w:lineRule="auto"/>
        <w:ind w:firstLine="709"/>
      </w:pPr>
      <w:r>
        <w:rPr>
          <w:color w:val="000000"/>
        </w:rPr>
        <w:t xml:space="preserve">В тоже время отмечается превышение уровня окружного показателя первичной заболеваемости наркоманиями в г. Ханты-Мансийск в 2,6 раза, что составляет 11,4 на 100 тысяч населения (</w:t>
      </w:r>
      <w:r>
        <w:rPr>
          <w:color w:val="000000"/>
        </w:rPr>
        <w:t xml:space="preserve">абс</w:t>
      </w:r>
      <w:r>
        <w:rPr>
          <w:color w:val="000000"/>
        </w:rPr>
        <w:t xml:space="preserve">. 13); Советском районе в 1,9 раза, что составляет 8,5 на 100 тысяч населения (</w:t>
      </w:r>
      <w:r>
        <w:rPr>
          <w:color w:val="000000"/>
        </w:rPr>
        <w:t xml:space="preserve">абс</w:t>
      </w:r>
      <w:r>
        <w:rPr>
          <w:color w:val="000000"/>
        </w:rPr>
        <w:t xml:space="preserve">. 4); в Сургутском районе и г. Урай в 1,7 раза, что составляет 7,6 и 7,3 на 100 тысяч населения соответственно (в абсолютных значениях – по 10 и 3 случая); в г. </w:t>
      </w:r>
      <w:r>
        <w:rPr>
          <w:color w:val="000000"/>
        </w:rPr>
        <w:t xml:space="preserve">Лангепас</w:t>
      </w:r>
      <w:r>
        <w:rPr>
          <w:color w:val="000000"/>
        </w:rPr>
        <w:t xml:space="preserve"> в 1,5 раза, что составляет 6,7 на 100 тысяч населения (</w:t>
      </w:r>
      <w:r>
        <w:rPr>
          <w:color w:val="000000"/>
        </w:rPr>
        <w:t xml:space="preserve">абс</w:t>
      </w:r>
      <w:r>
        <w:rPr>
          <w:color w:val="000000"/>
        </w:rPr>
        <w:t xml:space="preserve">. 3); а также в городах Нягань (на 43,2%), Сургут (на 20,5%) и </w:t>
      </w:r>
      <w:r>
        <w:rPr>
          <w:color w:val="000000"/>
        </w:rPr>
        <w:t xml:space="preserve">Пыть-Ях</w:t>
      </w:r>
      <w:r>
        <w:rPr>
          <w:color w:val="000000"/>
        </w:rPr>
        <w:t xml:space="preserve"> (на 11,4%), Ханты-Мансийском районе (на 18,2%).</w:t>
      </w:r>
    </w:p>
    <w:p>
      <w:pPr>
        <w:spacing w:line="276" w:lineRule="auto"/>
        <w:ind w:firstLine="709"/>
      </w:pPr>
      <w:r>
        <w:rPr>
          <w:color w:val="000000"/>
        </w:rPr>
        <w:t xml:space="preserve">Специалисты выделяют несколько ключевых мотивов, удерживающих людей от потребления наркотиков:</w:t>
      </w:r>
    </w:p>
    <w:p>
      <w:pPr>
        <w:spacing w:line="276" w:lineRule="auto"/>
        <w:ind w:firstLine="709"/>
      </w:pPr>
      <w:r>
        <w:rPr>
          <w:color w:val="000000"/>
        </w:rPr>
        <w:t xml:space="preserve">- Осознанное отрицательное отношение к потреблению наркотиков: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p>
    <w:p>
      <w:pPr>
        <w:spacing w:line="276" w:lineRule="auto"/>
        <w:ind w:firstLine="709"/>
      </w:pPr>
      <w:r>
        <w:rPr>
          <w:color w:val="000000"/>
        </w:rPr>
        <w:t xml:space="preserve">- Риск ранней смерти: понимание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p>
    <w:p>
      <w:pPr>
        <w:spacing w:line="276" w:lineRule="auto"/>
        <w:ind w:firstLine="709"/>
      </w:pPr>
      <w:r>
        <w:rPr>
          <w:color w:val="000000"/>
        </w:rPr>
        <w:t xml:space="preserve">- Опасность инфицирования ВИЧ-инфекцией и вирусными гепатитами:</w:t>
      </w:r>
      <w:r>
        <w:t xml:space="preserve"> у</w:t>
      </w:r>
      <w:r>
        <w:rPr>
          <w:color w:val="000000"/>
        </w:rPr>
        <w:t xml:space="preserve">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p>
    <w:p>
      <w:pPr>
        <w:spacing w:line="276" w:lineRule="auto"/>
        <w:ind w:firstLine="709"/>
      </w:pPr>
      <w:r>
        <w:rPr>
          <w:color w:val="000000"/>
        </w:rPr>
        <w:t xml:space="preserve">- Потеря уважения близких: многие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p>
    <w:p>
      <w:pPr>
        <w:spacing w:line="276" w:lineRule="auto"/>
        <w:ind w:firstLine="709"/>
      </w:pPr>
      <w:r>
        <w:rPr>
          <w:color w:val="000000"/>
        </w:rPr>
        <w:t xml:space="preserve">- Боязнь потерять семью: осознание того, что наркозависимость может разрушить семейные отношения и привести к потере семьи, служит сильным </w:t>
      </w:r>
      <w:r>
        <w:rPr>
          <w:color w:val="000000"/>
        </w:rPr>
        <w:t xml:space="preserve">мотиватором</w:t>
      </w:r>
      <w:r>
        <w:rPr>
          <w:color w:val="000000"/>
        </w:rPr>
        <w:t xml:space="preserve"> для отказа от употребления наркотиков. Люди боятся потерять своих близких и стремятся сохранить семейные узы.</w:t>
      </w:r>
    </w:p>
    <w:p>
      <w:pPr>
        <w:spacing w:line="276" w:lineRule="auto"/>
        <w:ind w:firstLine="709"/>
      </w:pPr>
      <w:r>
        <w:rPr>
          <w:color w:val="000000"/>
        </w:rPr>
        <w:t xml:space="preserve">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p>
    <w:p>
      <w:pPr>
        <w:spacing w:line="276" w:lineRule="auto"/>
        <w:ind w:firstLine="709"/>
      </w:pPr>
      <w:r>
        <w:rPr>
          <w:color w:val="000000"/>
        </w:rPr>
        <w:t xml:space="preserve">В настоящее время среди молодежи все больше приобретают актуальность позитивные социальные ценности, такие </w:t>
      </w:r>
      <w:r>
        <w:rPr>
          <w:color w:val="000000"/>
        </w:rPr>
        <w:t xml:space="preserve">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p>
    <w:p>
      <w:pPr>
        <w:spacing w:line="276" w:lineRule="auto"/>
        <w:ind w:firstLine="709"/>
      </w:pPr>
      <w:r>
        <w:rPr>
          <w:color w:val="000000"/>
        </w:rPr>
        <w:t xml:space="preserve">Основные направления методических материалов включают:</w:t>
      </w:r>
    </w:p>
    <w:p>
      <w:pPr>
        <w:spacing w:line="276" w:lineRule="auto"/>
        <w:ind w:firstLine="709"/>
      </w:pPr>
      <w:r>
        <w:rPr>
          <w:color w:val="000000"/>
        </w:rPr>
        <w:t xml:space="preserve">- 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карьеры.</w:t>
      </w:r>
    </w:p>
    <w:p>
      <w:pPr>
        <w:spacing w:line="276" w:lineRule="auto"/>
        <w:ind w:firstLine="709"/>
      </w:pPr>
      <w:r>
        <w:rPr>
          <w:color w:val="000000"/>
        </w:rPr>
        <w:t xml:space="preserve">- Личностная реализация: внимание уделяется тому, что при администрати</w:t>
      </w:r>
      <w:r>
        <w:rPr>
          <w:color w:val="000000"/>
        </w:rPr>
        <w:t xml:space="preserve">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p>
    <w:p>
      <w:pPr>
        <w:spacing w:line="276" w:lineRule="auto"/>
        <w:ind w:firstLine="709"/>
      </w:pPr>
      <w:r>
        <w:rPr>
          <w:color w:val="000000"/>
        </w:rPr>
        <w:t xml:space="preserve">- Общественное понимание и поддержка: растет осознание того, что наркозав</w:t>
      </w:r>
      <w:r>
        <w:rPr>
          <w:color w:val="000000"/>
        </w:rPr>
        <w:t xml:space="preserve">исимость не только вредит здоровью, но и имеет серьезные социальные последствия, включая потерю уважения и поддержки близких, а также разрушение карьеры. Поддержка со стороны общества в стремлении молодежи к здоровому образу жизни и достижению своих целей.</w:t>
      </w:r>
    </w:p>
    <w:p>
      <w:pPr>
        <w:spacing w:line="276" w:lineRule="auto"/>
        <w:ind w:firstLine="709"/>
      </w:pPr>
      <w:r>
        <w:rPr>
          <w:color w:val="000000"/>
        </w:rPr>
        <w:t xml:space="preserve">Эти подходы помогают формировать у молодых людей устойчивое негативное отношение к на</w:t>
      </w:r>
      <w:r>
        <w:rPr>
          <w:color w:val="000000"/>
        </w:rPr>
        <w:t xml:space="preserve">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p>
    <w:p>
      <w:pPr>
        <w:spacing w:line="276" w:lineRule="auto"/>
        <w:ind w:firstLine="709"/>
      </w:pPr>
      <w:r>
        <w:rPr>
          <w:color w:val="000000"/>
        </w:rPr>
        <w:t xml:space="preserve">Основным и преимущественным местом распространения наркотиков в нас</w:t>
      </w:r>
      <w:r>
        <w:rPr>
          <w:color w:val="000000"/>
        </w:rPr>
        <w:t xml:space="preserve">тоящее время является сеть Интернет, в частности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Югры, особенно среди молодежи в возрастной группе 18-39 лет.</w:t>
      </w:r>
    </w:p>
    <w:p>
      <w:pPr>
        <w:spacing w:line="276" w:lineRule="auto"/>
        <w:ind w:firstLine="709"/>
      </w:pPr>
      <w:r>
        <w:rPr>
          <w:color w:val="000000"/>
        </w:rPr>
        <w:t xml:space="preserve">Актуальные, из известных, способы распространения наркотических средств включают:</w:t>
      </w:r>
    </w:p>
    <w:p>
      <w:pPr>
        <w:spacing w:line="276" w:lineRule="auto"/>
        <w:ind w:firstLine="709"/>
      </w:pPr>
      <w:r>
        <w:rPr>
          <w:color w:val="000000"/>
        </w:rPr>
        <w:t xml:space="preserve">- 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p>
    <w:p>
      <w:pPr>
        <w:spacing w:line="276" w:lineRule="auto"/>
        <w:ind w:firstLine="709"/>
      </w:pPr>
      <w:r>
        <w:rPr>
          <w:color w:val="000000"/>
        </w:rPr>
        <w:t xml:space="preserve">- Интернет-площадки: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психоактивных веществ, что делает их привлекательными для потребителей.</w:t>
      </w:r>
    </w:p>
    <w:p>
      <w:pPr>
        <w:spacing w:line="276" w:lineRule="auto"/>
        <w:ind w:firstLine="709"/>
      </w:pPr>
      <w:r>
        <w:rPr>
          <w:color w:val="000000"/>
        </w:rPr>
        <w:t xml:space="preserve">Дополнительно на распространение нарко</w:t>
      </w:r>
      <w:r>
        <w:rPr>
          <w:color w:val="000000"/>
        </w:rPr>
        <w:t xml:space="preserve">тических средств и психоактивных веществ влияет учебная и трудовая миграция населения в населенные пункты. Это связано с тем, что студенты, приезжающие в новые города для учебы, могут быть особенно уязвимы к предложениям о наркотиках, особенно если они нах</w:t>
      </w:r>
      <w:r>
        <w:rPr>
          <w:color w:val="000000"/>
        </w:rPr>
        <w:t xml:space="preserve">одятся вдали от дома и испытывают стресс от адаптации. Люди, переезжающие в поисках работы, могут 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p>
    <w:p>
      <w:pPr>
        <w:spacing w:line="276" w:lineRule="auto"/>
        <w:ind w:firstLine="709"/>
      </w:pPr>
      <w:r>
        <w:rPr>
          <w:color w:val="000000"/>
        </w:rPr>
        <w:t xml:space="preserve">Эти факторы создают сложную обстановку, требующую комплексного подхода к профилактике и борьбе с наркоманией, включая усиление контроля за интернет-пространством, проведение профилактических мероприятий </w:t>
      </w:r>
      <w:r>
        <w:rPr>
          <w:color w:val="000000"/>
        </w:rPr>
        <w:t xml:space="preserve">среди молодежи и мигрантов, а также повышение осведомленности о последствиях употребления наркотиков.</w:t>
      </w:r>
    </w:p>
    <w:p>
      <w:pPr>
        <w:spacing w:line="276" w:lineRule="auto"/>
        <w:ind w:firstLine="709"/>
        <w:outlineLvl w:val="0"/>
        <w:rPr>
          <w:b/>
          <w:bCs/>
          <w:i/>
        </w:rPr>
      </w:pPr>
      <w:r>
        <w:rPr>
          <w:b/>
          <w:i/>
          <w:highlight w:val="none"/>
        </w:rPr>
      </w:r>
      <w:r>
        <w:rPr>
          <w:b/>
          <w:i/>
          <w:highlight w:val="none"/>
        </w:rPr>
      </w:r>
    </w:p>
    <w:p>
      <w:pPr>
        <w:spacing w:line="276" w:lineRule="auto"/>
        <w:ind w:firstLine="709"/>
        <w:outlineLvl w:val="0"/>
        <w:rPr>
          <w:b/>
          <w:bCs/>
          <w:i/>
          <w:highlight w:val="none"/>
        </w:rPr>
      </w:pPr>
      <w:r>
        <w:rPr>
          <w:b/>
          <w:i/>
          <w:highlight w:val="none"/>
        </w:rPr>
      </w:r>
      <w:r>
        <w:rPr>
          <w:b/>
          <w:i/>
          <w:highlight w:val="none"/>
        </w:rPr>
      </w:r>
    </w:p>
    <w:p>
      <w:pPr>
        <w:spacing w:line="276" w:lineRule="auto"/>
        <w:ind w:firstLine="709"/>
        <w:outlineLvl w:val="0"/>
        <w:rPr>
          <w:b/>
          <w:bCs/>
          <w:i/>
          <w:highlight w:val="none"/>
        </w:rPr>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Pr>
          <w:b/>
          <w:bCs/>
          <w:i/>
          <w:highlight w:val="none"/>
        </w:rPr>
      </w:r>
    </w:p>
    <w:p>
      <w:pPr>
        <w:spacing w:line="276" w:lineRule="auto"/>
        <w:ind w:firstLine="709"/>
      </w:pPr>
      <w:r>
        <w:rPr>
          <w:color w:val="000000"/>
        </w:rPr>
        <w:t xml:space="preserve">1) </w:t>
      </w:r>
      <w:r>
        <w:rPr>
          <w:b/>
          <w:bCs/>
          <w:color w:val="000000"/>
          <w:u w:val="single"/>
        </w:rPr>
        <w:t xml:space="preserve">г. Когалым.</w:t>
      </w:r>
      <w:r>
        <w:rPr>
          <w:bCs/>
          <w:color w:val="000000"/>
        </w:rPr>
        <w:t xml:space="preserve"> В</w:t>
      </w:r>
      <w:r>
        <w:rPr>
          <w:color w:val="000000"/>
        </w:rPr>
        <w:t xml:space="preserve">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15,4%, при перерасчете на 100 тыс. населения:</w:t>
      </w:r>
      <w:r>
        <w:rPr>
          <w:color w:val="000000"/>
        </w:rPr>
        <w:br/>
        <w:t xml:space="preserve"> 2024 год – 31,1 (</w:t>
      </w:r>
      <w:r>
        <w:rPr>
          <w:color w:val="000000"/>
        </w:rPr>
        <w:t xml:space="preserve">абс</w:t>
      </w:r>
      <w:r>
        <w:rPr>
          <w:color w:val="000000"/>
        </w:rPr>
        <w:t xml:space="preserve">. 20) и 2025 год – 26,3 (</w:t>
      </w:r>
      <w:r>
        <w:rPr>
          <w:color w:val="000000"/>
        </w:rPr>
        <w:t xml:space="preserve">абс</w:t>
      </w:r>
      <w:r>
        <w:rPr>
          <w:color w:val="000000"/>
        </w:rPr>
        <w:t xml:space="preserve">. 17);</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37,8%, при перерасчете на 100 тыс. населения: 2024 год – 24,9 (</w:t>
      </w:r>
      <w:r>
        <w:rPr>
          <w:color w:val="000000"/>
        </w:rPr>
        <w:t xml:space="preserve">абс</w:t>
      </w:r>
      <w:r>
        <w:rPr>
          <w:color w:val="000000"/>
        </w:rPr>
        <w:t xml:space="preserve">. 16) и 2025 год – 15,5 (</w:t>
      </w:r>
      <w:r>
        <w:rPr>
          <w:color w:val="000000"/>
        </w:rPr>
        <w:t xml:space="preserve">абс</w:t>
      </w:r>
      <w:r>
        <w:rPr>
          <w:color w:val="000000"/>
        </w:rPr>
        <w:t xml:space="preserve">. 10), из них среди несовершеннолетних – сохранение уровня прошлого года, при перерасчете на 100 тыс. детско-подросткового населения: 2024 и 2025 годы по 5,8 (</w:t>
      </w:r>
      <w:r>
        <w:rPr>
          <w:color w:val="000000"/>
        </w:rPr>
        <w:t xml:space="preserve">абс</w:t>
      </w:r>
      <w:r>
        <w:rPr>
          <w:color w:val="000000"/>
        </w:rPr>
        <w:t xml:space="preserve">. 1) соответственно;</w:t>
      </w:r>
    </w:p>
    <w:p>
      <w:pPr>
        <w:spacing w:line="276" w:lineRule="auto"/>
        <w:ind w:firstLine="709"/>
      </w:pPr>
      <w:r>
        <w:rPr>
          <w:color w:val="000000"/>
        </w:rPr>
        <w:t xml:space="preserve">-  увеличение числа лиц с впервые в жизни установленным диагнозом «наркомания» с 1 случая (1,6 на 100 тысяч населения) в 2024 году до 2 случаев (3,1 на 100 тысяч населения) в 2025 году;</w:t>
      </w:r>
    </w:p>
    <w:p>
      <w:pPr>
        <w:spacing w:line="276" w:lineRule="auto"/>
        <w:ind w:firstLine="709"/>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(6,2 на 100 тысяч населения) в 2024 году</w:t>
      </w:r>
      <w:r>
        <w:rPr>
          <w:color w:val="000000"/>
        </w:rPr>
        <w:br/>
        <w:t xml:space="preserve"> до 2 случаев (3,1 на 100 тысяч населения) в 2025 году, из них среди несовершеннолетних – уменьшение с 1 случая (5,8 на 100 тысяч несовершеннолетних) в 2024 году до 0 случаев в 2025 году;</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w:t>
      </w:r>
      <w:r>
        <w:rPr>
          <w:color w:val="000000"/>
        </w:rPr>
        <w:br/>
        <w:t xml:space="preserve"> (3,1 на 100 тысяч населения) в 2024 году до 0 случаев в 2025 году.</w:t>
      </w:r>
    </w:p>
    <w:p>
      <w:pPr>
        <w:spacing w:line="276" w:lineRule="auto"/>
        <w:ind w:firstLine="709"/>
      </w:pPr>
      <w:r>
        <w:rPr>
          <w:color w:val="000000"/>
        </w:rPr>
        <w:t xml:space="preserve">2) </w:t>
      </w:r>
      <w:r>
        <w:rPr>
          <w:b/>
          <w:bCs/>
          <w:color w:val="000000"/>
          <w:u w:val="single"/>
        </w:rPr>
        <w:t xml:space="preserve">г. </w:t>
      </w:r>
      <w:r>
        <w:rPr>
          <w:b/>
          <w:bCs/>
          <w:color w:val="000000"/>
          <w:u w:val="single"/>
        </w:rPr>
        <w:t xml:space="preserve">Лангепас</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14,4%, при перерасчете на 100 тыс. населения:</w:t>
      </w:r>
      <w:r>
        <w:rPr>
          <w:color w:val="000000"/>
        </w:rPr>
        <w:br/>
        <w:t xml:space="preserve"> 2024 год – 65,2 (</w:t>
      </w:r>
      <w:r>
        <w:rPr>
          <w:color w:val="000000"/>
        </w:rPr>
        <w:t xml:space="preserve">абс</w:t>
      </w:r>
      <w:r>
        <w:rPr>
          <w:color w:val="000000"/>
        </w:rPr>
        <w:t xml:space="preserve">. 29) и 2025 год – 55,8 (</w:t>
      </w:r>
      <w:r>
        <w:rPr>
          <w:color w:val="000000"/>
        </w:rPr>
        <w:t xml:space="preserve">абс</w:t>
      </w:r>
      <w:r>
        <w:rPr>
          <w:color w:val="000000"/>
        </w:rPr>
        <w:t xml:space="preserve">. 25);</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39,9%, при перерасчете на 100 тыс. населения: 2024 год – 74,2 (</w:t>
      </w:r>
      <w:r>
        <w:rPr>
          <w:color w:val="000000"/>
        </w:rPr>
        <w:t xml:space="preserve">абс</w:t>
      </w:r>
      <w:r>
        <w:rPr>
          <w:color w:val="000000"/>
        </w:rPr>
        <w:t xml:space="preserve">. 33) и </w:t>
      </w:r>
      <w:r>
        <w:rPr>
          <w:color w:val="000000"/>
        </w:rPr>
        <w:t xml:space="preserve">2025 год – 44,6 (</w:t>
      </w:r>
      <w:r>
        <w:rPr>
          <w:color w:val="000000"/>
        </w:rPr>
        <w:t xml:space="preserve">абс</w:t>
      </w:r>
      <w:r>
        <w:rPr>
          <w:color w:val="000000"/>
        </w:rPr>
        <w:t xml:space="preserve">. 20), несовершеннолетних этой категории в 2024-2025 годах не зарегистрировано;</w:t>
      </w:r>
    </w:p>
    <w:p>
      <w:pPr>
        <w:spacing w:line="276" w:lineRule="auto"/>
        <w:ind w:firstLine="709"/>
      </w:pPr>
      <w:r>
        <w:rPr>
          <w:color w:val="000000"/>
        </w:rPr>
        <w:t xml:space="preserve">-  увеличение числа лиц с впервые в жизни установленным диагнозом «наркомания» с 2 случаев (4,5 на 100 тысяч населения) в 2024 году до 3 случаев (6,7 на 100 тысяч населения) в 2025 году;</w:t>
      </w:r>
    </w:p>
    <w:p>
      <w:pPr>
        <w:spacing w:line="276" w:lineRule="auto"/>
        <w:ind w:firstLine="709"/>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(9,0 на 100 тысяч населения) в 2024 году</w:t>
      </w:r>
      <w:r>
        <w:rPr>
          <w:color w:val="000000"/>
        </w:rPr>
        <w:br/>
        <w:t xml:space="preserve"> до 1 случая (2,2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1 случая</w:t>
      </w:r>
      <w:r>
        <w:rPr>
          <w:color w:val="000000"/>
        </w:rPr>
        <w:br/>
        <w:t xml:space="preserve"> (2,2 на 100 тысяч населения) в 2024 году до 2 случаев (4,5 на 100 тысяч населения) в 2025 году.</w:t>
      </w:r>
    </w:p>
    <w:p>
      <w:pPr>
        <w:spacing w:line="276" w:lineRule="auto"/>
        <w:ind w:firstLine="709"/>
      </w:pPr>
      <w:r>
        <w:rPr>
          <w:color w:val="000000"/>
        </w:rPr>
        <w:t xml:space="preserve">3) </w:t>
      </w:r>
      <w:r>
        <w:rPr>
          <w:b/>
          <w:bCs/>
          <w:color w:val="000000"/>
          <w:u w:val="single"/>
        </w:rPr>
        <w:t xml:space="preserve">г. </w:t>
      </w:r>
      <w:r>
        <w:rPr>
          <w:b/>
          <w:bCs/>
          <w:color w:val="000000"/>
          <w:u w:val="single"/>
        </w:rPr>
        <w:t xml:space="preserve">Мегион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18,8%, при перерасчете на 100 тыс. населения:</w:t>
      </w:r>
      <w:r>
        <w:rPr>
          <w:color w:val="000000"/>
        </w:rPr>
        <w:br/>
        <w:t xml:space="preserve"> 2024 год – 107,2 (</w:t>
      </w:r>
      <w:r>
        <w:rPr>
          <w:color w:val="000000"/>
        </w:rPr>
        <w:t xml:space="preserve">абс</w:t>
      </w:r>
      <w:r>
        <w:rPr>
          <w:color w:val="000000"/>
        </w:rPr>
        <w:t xml:space="preserve">. 64) и 2025 год – 87,1 (</w:t>
      </w:r>
      <w:r>
        <w:rPr>
          <w:color w:val="000000"/>
        </w:rPr>
        <w:t xml:space="preserve">абс</w:t>
      </w:r>
      <w:r>
        <w:rPr>
          <w:color w:val="000000"/>
        </w:rPr>
        <w:t xml:space="preserve">. 52);</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w:t>
      </w:r>
      <w:r>
        <w:rPr>
          <w:color w:val="000000"/>
        </w:rPr>
        <w:br/>
        <w:t xml:space="preserve"> 2024 год – 56,9 (</w:t>
      </w:r>
      <w:r>
        <w:rPr>
          <w:color w:val="000000"/>
        </w:rPr>
        <w:t xml:space="preserve">абс</w:t>
      </w:r>
      <w:r>
        <w:rPr>
          <w:color w:val="000000"/>
        </w:rPr>
        <w:t xml:space="preserve">. 34) и 2025 год – 60,3 (</w:t>
      </w:r>
      <w:r>
        <w:rPr>
          <w:color w:val="000000"/>
        </w:rPr>
        <w:t xml:space="preserve">абс</w:t>
      </w:r>
      <w:r>
        <w:rPr>
          <w:color w:val="000000"/>
        </w:rPr>
        <w:t xml:space="preserve">. 36), несовершеннолетних этой категории в 2024-2025 годах не зарегистрировано;</w:t>
      </w:r>
    </w:p>
    <w:p>
      <w:pPr>
        <w:spacing w:line="276" w:lineRule="auto"/>
        <w:ind w:firstLine="709"/>
      </w:pPr>
      <w:r>
        <w:rPr>
          <w:color w:val="000000"/>
        </w:rPr>
        <w:t xml:space="preserve">- уменьшение числа лиц с впервые в жизни установленным диагнозом «наркомания» с 4 случаев (6,7 на 100 тысяч населения) в 2024 году</w:t>
      </w:r>
      <w:r>
        <w:rPr>
          <w:color w:val="000000"/>
        </w:rPr>
        <w:br/>
        <w:t xml:space="preserve"> до 0 случаев в 2025 году;</w:t>
      </w:r>
    </w:p>
    <w:p>
      <w:pPr>
        <w:spacing w:line="276" w:lineRule="auto"/>
        <w:ind w:firstLine="709"/>
      </w:pPr>
      <w:r>
        <w:rPr>
          <w:color w:val="000000"/>
        </w:rP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с 1 случая (1,7 на 100 тысяч населения) в 2024 году</w:t>
      </w:r>
      <w:r>
        <w:rPr>
          <w:color w:val="000000"/>
        </w:rPr>
        <w:br/>
        <w:t xml:space="preserve"> до 6 случаев (10,0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5 случаев</w:t>
      </w:r>
      <w:r>
        <w:rPr>
          <w:color w:val="000000"/>
        </w:rPr>
        <w:br/>
        <w:t xml:space="preserve"> (8,4 на 100 тысяч населения) в 2024 году до 0 случаев в 2025 году.</w:t>
      </w:r>
    </w:p>
    <w:p>
      <w:pPr>
        <w:spacing w:line="276" w:lineRule="auto"/>
        <w:ind w:firstLine="709"/>
      </w:pPr>
      <w:r>
        <w:rPr>
          <w:color w:val="000000"/>
        </w:rPr>
        <w:t xml:space="preserve">4) </w:t>
      </w:r>
      <w:r>
        <w:rPr>
          <w:b/>
          <w:bCs/>
          <w:color w:val="000000"/>
          <w:u w:val="single"/>
        </w:rPr>
        <w:t xml:space="preserve">г. Нефтеюганск</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18,3%, при перерасчете на 100 тыс. населения:</w:t>
      </w:r>
      <w:r>
        <w:rPr>
          <w:color w:val="000000"/>
        </w:rPr>
        <w:br/>
        <w:t xml:space="preserve"> 2024 год – 52,6 (</w:t>
      </w:r>
      <w:r>
        <w:rPr>
          <w:color w:val="000000"/>
        </w:rPr>
        <w:t xml:space="preserve">абс</w:t>
      </w:r>
      <w:r>
        <w:rPr>
          <w:color w:val="000000"/>
        </w:rPr>
        <w:t xml:space="preserve">. 67) и 2025 год – 43,0 (</w:t>
      </w:r>
      <w:r>
        <w:rPr>
          <w:color w:val="000000"/>
        </w:rPr>
        <w:t xml:space="preserve">абс</w:t>
      </w:r>
      <w:r>
        <w:rPr>
          <w:color w:val="000000"/>
        </w:rPr>
        <w:t xml:space="preserve">. 55);</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2024 год и 2025 год – 8,6 (</w:t>
      </w:r>
      <w:r>
        <w:rPr>
          <w:color w:val="000000"/>
        </w:rPr>
        <w:t xml:space="preserve">абс</w:t>
      </w:r>
      <w:r>
        <w:rPr>
          <w:color w:val="000000"/>
        </w:rPr>
        <w:t xml:space="preserve">. 11), несовершеннолетних этой категории в 2024-2025 годах не зарегистрировано;</w:t>
      </w:r>
    </w:p>
    <w:p>
      <w:pPr>
        <w:spacing w:line="276" w:lineRule="auto"/>
        <w:ind w:firstLine="709"/>
      </w:pPr>
      <w:r>
        <w:rPr>
          <w:color w:val="000000"/>
        </w:rPr>
        <w:t xml:space="preserve">- снижение числа лиц с впервые в жизни установленным диагнозом «наркомания» с 5 случаев (3,9 на 100 тысяч населения) в 2024 году</w:t>
      </w:r>
      <w:r>
        <w:rPr>
          <w:color w:val="000000"/>
        </w:rPr>
        <w:br/>
        <w:t xml:space="preserve"> до 2 случаев (1,6 на 100 тысяч населения) в 2025 году;</w:t>
      </w:r>
    </w:p>
    <w:p>
      <w:pPr>
        <w:spacing w:line="276" w:lineRule="auto"/>
        <w:ind w:firstLine="709"/>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2024 году</w:t>
      </w:r>
      <w:r>
        <w:rPr>
          <w:color w:val="000000"/>
        </w:rPr>
        <w:br/>
        <w:t xml:space="preserve"> до 1 случая (0,8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w:t>
      </w:r>
      <w:r>
        <w:rPr>
          <w:color w:val="000000"/>
        </w:rPr>
        <w:br/>
        <w:t xml:space="preserve"> (1,6 на 100 тысяч населения) в 2024 году до 1 случая (0,8 на 100 тысяч населения) в 2025 году.</w:t>
      </w:r>
    </w:p>
    <w:p>
      <w:pPr>
        <w:spacing w:line="276" w:lineRule="auto"/>
        <w:ind w:firstLine="709"/>
      </w:pPr>
      <w:r>
        <w:rPr>
          <w:color w:val="000000"/>
        </w:rPr>
        <w:t xml:space="preserve">5) </w:t>
      </w:r>
      <w:r>
        <w:rPr>
          <w:b/>
          <w:bCs/>
          <w:color w:val="000000"/>
          <w:u w:val="single"/>
        </w:rPr>
        <w:t xml:space="preserve">г. Нижневартовск.</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1,7%, при перерасчете на 100 тыс. населения:</w:t>
      </w:r>
      <w:r>
        <w:rPr>
          <w:color w:val="000000"/>
        </w:rPr>
        <w:br/>
        <w:t xml:space="preserve"> 2024 год – 138,8 (</w:t>
      </w:r>
      <w:r>
        <w:rPr>
          <w:color w:val="000000"/>
        </w:rPr>
        <w:t xml:space="preserve">абс</w:t>
      </w:r>
      <w:r>
        <w:rPr>
          <w:color w:val="000000"/>
        </w:rPr>
        <w:t xml:space="preserve">. 405) и 2025 год – 136,5 (</w:t>
      </w:r>
      <w:r>
        <w:rPr>
          <w:color w:val="000000"/>
        </w:rPr>
        <w:t xml:space="preserve">абс</w:t>
      </w:r>
      <w:r>
        <w:rPr>
          <w:color w:val="000000"/>
        </w:rPr>
        <w:t xml:space="preserve">. 400);</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1,6%, при перерасчете на 100 тыс. населения: 2024 год – 97,0 (</w:t>
      </w:r>
      <w:r>
        <w:rPr>
          <w:color w:val="000000"/>
        </w:rPr>
        <w:t xml:space="preserve">абс</w:t>
      </w:r>
      <w:r>
        <w:rPr>
          <w:color w:val="000000"/>
        </w:rPr>
        <w:t xml:space="preserve">. 283) и 2025 год – 98,6 (</w:t>
      </w:r>
      <w:r>
        <w:rPr>
          <w:color w:val="000000"/>
        </w:rPr>
        <w:t xml:space="preserve">абс</w:t>
      </w:r>
      <w:r>
        <w:rPr>
          <w:color w:val="000000"/>
        </w:rPr>
        <w:t xml:space="preserve">. 289), из них среди несовершеннолетних – увеличение с 1 случая (1,5 на 100 тысяч несовершеннолетних) в 2024 году до 5 случаев (7,6 на 100 тысяч несовершеннолетних) в 2025 году;</w:t>
      </w:r>
    </w:p>
    <w:p>
      <w:pPr>
        <w:spacing w:line="276" w:lineRule="auto"/>
        <w:ind w:firstLine="709"/>
      </w:pPr>
      <w:r>
        <w:rPr>
          <w:color w:val="000000"/>
        </w:rPr>
        <w:t xml:space="preserve">- снижение числа лиц с впервые в жизни установленным диагнозом «наркомания» на 41,4%, при перерасчете на 100 тыс. населения: 2024 год – 5,8 (</w:t>
      </w:r>
      <w:r>
        <w:rPr>
          <w:color w:val="000000"/>
        </w:rPr>
        <w:t xml:space="preserve">абс</w:t>
      </w:r>
      <w:r>
        <w:rPr>
          <w:color w:val="000000"/>
        </w:rPr>
        <w:t xml:space="preserve">. 17) и 2025 год – 3,4 (</w:t>
      </w:r>
      <w:r>
        <w:rPr>
          <w:color w:val="000000"/>
        </w:rPr>
        <w:t xml:space="preserve">абс</w:t>
      </w:r>
      <w:r>
        <w:rPr>
          <w:color w:val="000000"/>
        </w:rPr>
        <w:t xml:space="preserve">. 10);</w:t>
      </w:r>
    </w:p>
    <w:p>
      <w:pPr>
        <w:spacing w:line="276" w:lineRule="auto"/>
        <w:ind w:firstLine="709"/>
      </w:pPr>
      <w:r>
        <w:rPr>
          <w:color w:val="000000"/>
        </w:rPr>
        <w:t xml:space="preserve">- стабилизация показателя на уровне 2024 года по числу лиц, зарегистрированных впервые в жизни с диагнозом «потребление наркотических средств с вредными последствиями», по 13 случаев соответственно, при перерасчете на 100 тыс. населения: 2024 год – 4,5 и</w:t>
      </w:r>
      <w:r>
        <w:rPr>
          <w:color w:val="000000"/>
        </w:rPr>
        <w:br/>
      </w:r>
      <w:r>
        <w:rPr>
          <w:color w:val="000000"/>
        </w:rPr>
        <w:t xml:space="preserve"> 2025 год – 4,4. За счет изменения общей численности населения</w:t>
      </w:r>
      <w:r>
        <w:rPr>
          <w:color w:val="000000"/>
        </w:rPr>
        <w:br/>
        <w:t xml:space="preserve"> в муниципальном образовании отмечается снижение первичной за</w:t>
      </w:r>
      <w:r>
        <w:rPr>
          <w:color w:val="000000"/>
        </w:rPr>
        <w:t xml:space="preserve">болеваемости пагубным с вредными последствиями употреблением наркотиков на 2,2%, вместе с тем среди несовершеннолетних – увеличение с 1 случая (1,5 на 100 тысяч несовершеннолетних) в 2024 году до 4 случаев (6,1 на 100 тысяч несовершеннолетних) в 2025 году;</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на 7,9%, при перерасчете на 100 тыс. населения: 2024 год – 3,8 (</w:t>
      </w:r>
      <w:r>
        <w:rPr>
          <w:color w:val="000000"/>
        </w:rPr>
        <w:t xml:space="preserve">абс</w:t>
      </w:r>
      <w:r>
        <w:rPr>
          <w:color w:val="000000"/>
        </w:rPr>
        <w:t xml:space="preserve">. 11) и 2025 год – 4,1</w:t>
      </w:r>
      <w:r>
        <w:rPr>
          <w:color w:val="000000"/>
        </w:rPr>
        <w:br/>
        <w:t xml:space="preserve"> (</w:t>
      </w:r>
      <w:r>
        <w:rPr>
          <w:color w:val="000000"/>
        </w:rPr>
        <w:t xml:space="preserve">абс</w:t>
      </w:r>
      <w:r>
        <w:rPr>
          <w:color w:val="000000"/>
        </w:rPr>
        <w:t xml:space="preserve">. 12).</w:t>
      </w:r>
    </w:p>
    <w:p>
      <w:pPr>
        <w:spacing w:line="276" w:lineRule="auto"/>
        <w:ind w:firstLine="709"/>
      </w:pPr>
      <w:r>
        <w:rPr>
          <w:color w:val="000000"/>
        </w:rPr>
        <w:t xml:space="preserve">6) г</w:t>
      </w:r>
      <w:r>
        <w:rPr>
          <w:b/>
          <w:bCs/>
          <w:color w:val="000000"/>
          <w:u w:val="single"/>
        </w:rPr>
        <w:t xml:space="preserve">. Нягань.</w:t>
      </w:r>
      <w:r>
        <w:rPr>
          <w:color w:val="000000"/>
        </w:rPr>
        <w:t xml:space="preserve"> В</w:t>
      </w:r>
      <w:r>
        <w:t xml:space="preserve"> данном муниципальном образовании прослеживаются следующие тенденции:</w:t>
      </w:r>
    </w:p>
    <w:p>
      <w:pPr>
        <w:spacing w:line="276" w:lineRule="auto"/>
        <w:ind w:firstLine="709"/>
      </w:pPr>
      <w:r>
        <w:t xml:space="preserve">- уменьшение по числу лиц, зарегистрированных с диагнозом «наркомания» на 13,6%, при перерасчете на 100 тыс. населения: 2024 год – 105,4 (</w:t>
      </w:r>
      <w:r>
        <w:t xml:space="preserve">абс</w:t>
      </w:r>
      <w:r>
        <w:t xml:space="preserve">. 67) и 2025 год – 91,1 (</w:t>
      </w:r>
      <w:r>
        <w:t xml:space="preserve">абс</w:t>
      </w:r>
      <w:r>
        <w:t xml:space="preserve">. 58);</w:t>
      </w:r>
    </w:p>
    <w:p>
      <w:pPr>
        <w:spacing w:line="276" w:lineRule="auto"/>
        <w:ind w:firstLine="709"/>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29,5%, при перерасчете на 100 тыс. населения: 2024 год – 118,0 (</w:t>
      </w:r>
      <w:r>
        <w:t xml:space="preserve">абс</w:t>
      </w:r>
      <w:r>
        <w:t xml:space="preserve">. 75) и 2025 год – 83,2 (</w:t>
      </w:r>
      <w:r>
        <w:t xml:space="preserve">абс</w:t>
      </w:r>
      <w:r>
        <w:t xml:space="preserve">. 53), из них среди несовершеннолетних сохранение уровня прошлого года, по 1 случаю соответственно, при перерасчете на 100 тыс. детско-подросткового населения: 2024 и 2025 годы – 6,1;</w:t>
      </w:r>
    </w:p>
    <w:p>
      <w:pPr>
        <w:spacing w:line="276" w:lineRule="auto"/>
        <w:ind w:firstLine="709"/>
      </w:pPr>
      <w:r>
        <w:t xml:space="preserve">- увеличение числа лиц с впервые в жизни установленным диагнозом «наркомания» с 3 случаев (4,7 на 100 тысяч населения) в 2024 году до 4 случаев (6,3 на 100 тысяч населения) в 2025 году; </w:t>
      </w:r>
    </w:p>
    <w:p>
      <w:pPr>
        <w:spacing w:line="276" w:lineRule="auto"/>
        <w:ind w:firstLine="709"/>
      </w:pPr>
      <w:r>
        <w:t xml:space="preserve">- снижение числа лиц, впервые зарегистрированных с диагнозом «потребление наркотических средств и психотропных веществ с</w:t>
      </w:r>
      <w:r>
        <w:t xml:space="preserve"> вредными последствиями» с 5 случаев (7,9 на 100 тысяч населения) в 2024 году до 3 случаев (4,7 на 100 тысяч населения) в 2025 году, из них несовершеннолетних уменьшение с 1 случая (6,1 на 100 тысяч несовершеннолетних) в 2024 году до 0 случаев в 2025 году;</w:t>
      </w:r>
    </w:p>
    <w:p>
      <w:pPr>
        <w:spacing w:line="276" w:lineRule="auto"/>
        <w:ind w:firstLine="709"/>
        <w:rPr>
          <w:highlight w:val="none"/>
        </w:rPr>
      </w:pPr>
      <w: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highlight w:val="none"/>
        </w:rPr>
      </w:r>
      <w:r>
        <w:rPr>
          <w:highlight w:val="none"/>
        </w:rPr>
      </w:r>
    </w:p>
    <w:p>
      <w:pPr>
        <w:spacing w:line="276" w:lineRule="auto"/>
        <w:ind w:firstLine="709"/>
      </w:pPr>
      <w:r>
        <w:rPr>
          <w:color w:val="000000"/>
        </w:rPr>
        <w:t xml:space="preserve">7) </w:t>
      </w:r>
      <w:r>
        <w:rPr>
          <w:b/>
          <w:bCs/>
          <w:color w:val="000000"/>
          <w:u w:val="single"/>
        </w:rPr>
        <w:t xml:space="preserve">г. </w:t>
      </w:r>
      <w:r>
        <w:rPr>
          <w:b/>
          <w:bCs/>
          <w:color w:val="000000"/>
          <w:u w:val="single"/>
        </w:rPr>
        <w:t xml:space="preserve">Покачи</w:t>
      </w:r>
      <w:r>
        <w:rPr>
          <w:b/>
          <w:bCs/>
          <w:color w:val="000000"/>
          <w:u w:val="single"/>
        </w:rPr>
        <w:t xml:space="preserve">.</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 и 2025 год – 6,0 (</w:t>
      </w:r>
      <w:r>
        <w:rPr>
          <w:color w:val="000000"/>
        </w:rPr>
        <w:t xml:space="preserve">абс</w:t>
      </w:r>
      <w:r>
        <w:rPr>
          <w:color w:val="000000"/>
        </w:rPr>
        <w:t xml:space="preserve">. 1);</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50,0%, при перерасчете на 100 тыс. населения: 2024 год – 36,2 (</w:t>
      </w:r>
      <w:r>
        <w:rPr>
          <w:color w:val="000000"/>
        </w:rPr>
        <w:t xml:space="preserve">абс</w:t>
      </w:r>
      <w:r>
        <w:rPr>
          <w:color w:val="000000"/>
        </w:rPr>
        <w:t xml:space="preserve">. 6) и 2025 год – 18,1 (</w:t>
      </w:r>
      <w:r>
        <w:rPr>
          <w:color w:val="000000"/>
        </w:rPr>
        <w:t xml:space="preserve">абс</w:t>
      </w:r>
      <w:r>
        <w:rPr>
          <w:color w:val="000000"/>
        </w:rPr>
        <w:t xml:space="preserve">. 3), из них среди несовершеннолетних – стабилизация показателя на уровне 2024 года по 1 случаю соответственно, при перерасчете на 100 тыс. несо</w:t>
      </w:r>
      <w:r>
        <w:rPr>
          <w:color w:val="000000"/>
        </w:rPr>
        <w:t xml:space="preserve">вершеннолетних: 2024 год – 21,0 и 2025 год – 20,8. За счет изменения численности населения в муниципальном образовании отмечается снижение показателя болезненности пагубным с вредными последствиями употреблением наркотиков среди несовершеннолетних на 1,0%;</w:t>
      </w:r>
    </w:p>
    <w:p>
      <w:pPr>
        <w:spacing w:line="276" w:lineRule="auto"/>
        <w:ind w:firstLine="709"/>
      </w:pPr>
      <w:r>
        <w:rPr>
          <w:color w:val="000000"/>
        </w:rPr>
        <w:t xml:space="preserve">- первичная заболеваемость наркоманией в 2024-2025 годах</w:t>
      </w:r>
      <w:r>
        <w:rPr>
          <w:color w:val="000000"/>
        </w:rPr>
        <w:br/>
        <w:t xml:space="preserve"> не зарегистрирована;</w:t>
      </w:r>
    </w:p>
    <w:p>
      <w:pPr>
        <w:spacing w:line="276" w:lineRule="auto"/>
        <w:ind w:firstLine="709"/>
      </w:pPr>
      <w:r>
        <w:rPr>
          <w:color w:val="000000"/>
        </w:rPr>
        <w:t xml:space="preserve">- уменьшение числа лиц с впервые в жизни установленным диагнозом «потребление наркотических </w:t>
      </w:r>
      <w:r>
        <w:rPr>
          <w:color w:val="000000"/>
        </w:rPr>
        <w:t xml:space="preserve">средств и психотропных веществ с вредными последствиями» с 3 случаев (18,1 на 100 тысяч населения) в 2024 году до 0 случаев в 2025 году, из них среди несовершеннолетних – уменьшение с 1 случая (21,0 на 100 тысяч несовершеннолетних) в 2024 году до 0 случаев</w:t>
      </w:r>
      <w:r>
        <w:rPr>
          <w:color w:val="000000"/>
        </w:rPr>
        <w:br/>
        <w:t xml:space="preserve"> в 2025 году;</w:t>
      </w:r>
    </w:p>
    <w:p>
      <w:pPr>
        <w:spacing w:line="276" w:lineRule="auto"/>
        <w:ind w:firstLine="709"/>
      </w:pPr>
      <w:r>
        <w:rPr>
          <w:color w:val="000000"/>
        </w:rP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color w:val="000000"/>
        </w:rPr>
        <w:t xml:space="preserve">8) </w:t>
      </w:r>
      <w:r>
        <w:rPr>
          <w:b/>
          <w:bCs/>
          <w:color w:val="000000"/>
          <w:u w:val="single"/>
        </w:rPr>
        <w:t xml:space="preserve">г. </w:t>
      </w:r>
      <w:r>
        <w:rPr>
          <w:b/>
          <w:bCs/>
          <w:color w:val="000000"/>
          <w:u w:val="single"/>
        </w:rPr>
        <w:t xml:space="preserve">Пыть-Ях</w:t>
      </w:r>
      <w:r>
        <w:rPr>
          <w:b/>
          <w:bCs/>
          <w:color w:val="000000"/>
          <w:u w:val="single"/>
        </w:rPr>
        <w:t xml:space="preserve">.</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год – 154,1 (</w:t>
      </w:r>
      <w:r>
        <w:rPr>
          <w:color w:val="000000"/>
        </w:rPr>
        <w:t xml:space="preserve">абс</w:t>
      </w:r>
      <w:r>
        <w:rPr>
          <w:color w:val="000000"/>
        </w:rPr>
        <w:t xml:space="preserve">. 63) и 2025 год – 152,9 (</w:t>
      </w:r>
      <w:r>
        <w:rPr>
          <w:color w:val="000000"/>
        </w:rPr>
        <w:t xml:space="preserve">абс</w:t>
      </w:r>
      <w:r>
        <w:rPr>
          <w:color w:val="000000"/>
        </w:rPr>
        <w:t xml:space="preserve">. 63),</w:t>
      </w:r>
      <w:r>
        <w:rPr>
          <w:color w:val="000000"/>
        </w:rPr>
        <w:br/>
        <w:t xml:space="preserve"> за счет изменения общей численности населения в муниципальном образовании отмечается снижение болезненности наркоманией на 0,8%;</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7,7%, при перерасчете на 100 тыс. населения: 2024 год – 105,2 (</w:t>
      </w:r>
      <w:r>
        <w:rPr>
          <w:color w:val="000000"/>
        </w:rPr>
        <w:t xml:space="preserve">абс</w:t>
      </w:r>
      <w:r>
        <w:rPr>
          <w:color w:val="000000"/>
        </w:rPr>
        <w:t xml:space="preserve">. 43) и 2025 год – 97,1 (</w:t>
      </w:r>
      <w:r>
        <w:rPr>
          <w:color w:val="000000"/>
        </w:rPr>
        <w:t xml:space="preserve">абс</w:t>
      </w:r>
      <w:r>
        <w:rPr>
          <w:color w:val="000000"/>
        </w:rPr>
        <w:t xml:space="preserve">. 40), несовершеннолетних этой категории в 2024-2025 годах не зарегистрировано;</w:t>
      </w:r>
    </w:p>
    <w:p>
      <w:pPr>
        <w:spacing w:line="276" w:lineRule="auto"/>
        <w:ind w:firstLine="709"/>
      </w:pPr>
      <w:r>
        <w:rPr>
          <w:color w:val="000000"/>
        </w:rPr>
        <w:t xml:space="preserve">-  увеличение числа лиц с впервые в жизни установленным диагнозом «наркомания» с 0 случаев в 2024 году до 2 случаев (4,9 на 100 тысяч населения) в 2025 году;</w:t>
      </w:r>
    </w:p>
    <w:p>
      <w:pPr>
        <w:spacing w:line="276" w:lineRule="auto"/>
        <w:ind w:firstLine="709"/>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2 случаев (4,9 на 100 тысяч населения) в 2025 году.</w:t>
      </w:r>
    </w:p>
    <w:p>
      <w:pPr>
        <w:spacing w:line="276" w:lineRule="auto"/>
        <w:ind w:firstLine="709"/>
      </w:pPr>
      <w:r>
        <w:rPr>
          <w:color w:val="000000"/>
        </w:rPr>
        <w:t xml:space="preserve">9) </w:t>
      </w:r>
      <w:r>
        <w:rPr>
          <w:b/>
          <w:bCs/>
          <w:color w:val="000000"/>
          <w:u w:val="single"/>
        </w:rPr>
        <w:t xml:space="preserve">г. Радужный</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8,1%, при перерасчете на 100 тыс. населения: 2024 год – 28,4 (</w:t>
      </w:r>
      <w:r>
        <w:rPr>
          <w:color w:val="000000"/>
        </w:rPr>
        <w:t xml:space="preserve">абс</w:t>
      </w:r>
      <w:r>
        <w:rPr>
          <w:color w:val="000000"/>
        </w:rPr>
        <w:t xml:space="preserve">. 13) и 2025 год – 26,1 (</w:t>
      </w:r>
      <w:r>
        <w:rPr>
          <w:color w:val="000000"/>
        </w:rPr>
        <w:t xml:space="preserve">абс</w:t>
      </w:r>
      <w:r>
        <w:rPr>
          <w:color w:val="000000"/>
        </w:rPr>
        <w:t xml:space="preserve">. 12);</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30,8%, при перерасчете на 100 тыс. населения: 2024 год – 50,3 (</w:t>
      </w:r>
      <w:r>
        <w:rPr>
          <w:color w:val="000000"/>
        </w:rPr>
        <w:t xml:space="preserve">абс</w:t>
      </w:r>
      <w:r>
        <w:rPr>
          <w:color w:val="000000"/>
        </w:rPr>
        <w:t xml:space="preserve">. 23) и 2025 год – 34,8 (</w:t>
      </w:r>
      <w:r>
        <w:rPr>
          <w:color w:val="000000"/>
        </w:rPr>
        <w:t xml:space="preserve">абс</w:t>
      </w:r>
      <w:r>
        <w:rPr>
          <w:color w:val="000000"/>
        </w:rPr>
        <w:t xml:space="preserve">. 16), из них среди несовершеннолетних – стабилизация показателя на уровне 2024 года, по 1 случаю соответственно, при перерасчете на 100 тыс. несовершен</w:t>
      </w:r>
      <w:r>
        <w:rPr>
          <w:color w:val="000000"/>
        </w:rPr>
        <w:t xml:space="preserve">нолетних: 2024 год – 15,5 и 2025 год – 15,4. За счет изменения общей численности населения в муниципальном образовании отмечается снижение показателя болезненности пагубным с вредными последствиями употреблением наркотиков среди несовершеннолетних на 0,6%;</w:t>
      </w:r>
    </w:p>
    <w:p>
      <w:pPr>
        <w:spacing w:line="276" w:lineRule="auto"/>
        <w:ind w:firstLine="709"/>
      </w:pPr>
      <w:r>
        <w:rPr>
          <w:color w:val="000000"/>
        </w:rPr>
        <w:t xml:space="preserve">-  увеличение числа лиц с впервые в жизни установленным диагнозом «наркомания» с 0 случаев в 2024 году до 1 случая (2,2 на 100 тысяч населения) в 2025 году;</w:t>
      </w:r>
    </w:p>
    <w:p>
      <w:pPr>
        <w:spacing w:line="276" w:lineRule="auto"/>
        <w:ind w:firstLine="709"/>
      </w:pPr>
      <w:r>
        <w:rPr>
          <w:color w:val="000000"/>
        </w:rPr>
        <w:t xml:space="preserve">- уменьшение числа лиц с впервые в жизни установленным диагнозом «потребление наркотических средств и психотропных веществ с вредными последствиями» с 6 случаев (13,1 на 100 тысяч населения) в 2024 году</w:t>
      </w:r>
      <w:r>
        <w:rPr>
          <w:color w:val="000000"/>
        </w:rPr>
        <w:br/>
        <w:t xml:space="preserve"> до 0 случаев в 2025 году, из них среди несовершеннолетних – уменьшение с 2 случаев (15,5 на 100 тысяч несовершеннолетних) в 2024 году до 0 случаев в 2025 году;</w:t>
      </w:r>
    </w:p>
    <w:p>
      <w:pPr>
        <w:spacing w:line="276" w:lineRule="auto"/>
        <w:ind w:firstLine="709"/>
      </w:pPr>
      <w:r>
        <w:rPr>
          <w:color w:val="000000"/>
        </w:rPr>
        <w:t xml:space="preserve">- стабилизация показателя на уровне 2024 года по числу смертельных отравлений наркотическими средствами и психотропными веществами, при перерасчете на 100 тыс. населения: 2024-2025 год – 2,2 (</w:t>
      </w:r>
      <w:r>
        <w:rPr>
          <w:color w:val="000000"/>
        </w:rPr>
        <w:t xml:space="preserve">абс</w:t>
      </w:r>
      <w:r>
        <w:rPr>
          <w:color w:val="000000"/>
        </w:rPr>
        <w:t xml:space="preserve">. 1);</w:t>
      </w:r>
    </w:p>
    <w:p>
      <w:pPr>
        <w:spacing w:line="276" w:lineRule="auto"/>
        <w:ind w:firstLine="709"/>
      </w:pPr>
      <w:r>
        <w:rPr>
          <w:color w:val="000000"/>
        </w:rPr>
        <w:t xml:space="preserve">10) </w:t>
      </w:r>
      <w:r>
        <w:rPr>
          <w:b/>
          <w:bCs/>
          <w:color w:val="000000"/>
          <w:u w:val="single"/>
        </w:rPr>
        <w:t xml:space="preserve">г. Сургут</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3,0%, при перерасчете на 100 тыс. населения:</w:t>
      </w:r>
      <w:r>
        <w:rPr>
          <w:color w:val="000000"/>
        </w:rPr>
        <w:br/>
        <w:t xml:space="preserve"> 2024 год – 76,9 (</w:t>
      </w:r>
      <w:r>
        <w:rPr>
          <w:color w:val="000000"/>
        </w:rPr>
        <w:t xml:space="preserve">абс</w:t>
      </w:r>
      <w:r>
        <w:rPr>
          <w:color w:val="000000"/>
        </w:rPr>
        <w:t xml:space="preserve">. 328) и 2025 год – 74,6 (</w:t>
      </w:r>
      <w:r>
        <w:rPr>
          <w:color w:val="000000"/>
        </w:rPr>
        <w:t xml:space="preserve">абс</w:t>
      </w:r>
      <w:r>
        <w:rPr>
          <w:color w:val="000000"/>
        </w:rPr>
        <w:t xml:space="preserve">. 323);</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w:t>
      </w:r>
      <w:r>
        <w:rPr>
          <w:color w:val="000000"/>
        </w:rPr>
        <w:t xml:space="preserve">последствиями»  на</w:t>
      </w:r>
      <w:r>
        <w:rPr>
          <w:color w:val="000000"/>
        </w:rPr>
        <w:t xml:space="preserve"> 1,6%, при перерасчете на 100 тыс. населения: 2024 год – 37,3 (</w:t>
      </w:r>
      <w:r>
        <w:rPr>
          <w:color w:val="000000"/>
        </w:rPr>
        <w:t xml:space="preserve">абс</w:t>
      </w:r>
      <w:r>
        <w:rPr>
          <w:color w:val="000000"/>
        </w:rPr>
        <w:t xml:space="preserve">. 159) и </w:t>
      </w:r>
      <w:r>
        <w:rPr>
          <w:color w:val="000000"/>
        </w:rPr>
        <w:t xml:space="preserve">2025 год – 37,9 (</w:t>
      </w:r>
      <w:r>
        <w:rPr>
          <w:color w:val="000000"/>
        </w:rPr>
        <w:t xml:space="preserve">абс</w:t>
      </w:r>
      <w:r>
        <w:rPr>
          <w:color w:val="000000"/>
        </w:rPr>
        <w:t xml:space="preserve">. 164), из них среди несовершеннолетних – увеличение с 9 случаев (8,7 на 100 тысяч населения) в 2024 году до 15 случаев (14,2 на 100 тысяч населения) в 2025 году;</w:t>
      </w:r>
    </w:p>
    <w:p>
      <w:pPr>
        <w:spacing w:line="276" w:lineRule="auto"/>
        <w:ind w:firstLine="709"/>
      </w:pPr>
      <w:r>
        <w:rPr>
          <w:color w:val="000000"/>
        </w:rPr>
        <w:t xml:space="preserve">- снижение числа лиц с впервые в жизни установленным диагнозом «наркомания» на 10,2%, при перерасчете на 100 тыс. населения:</w:t>
      </w:r>
      <w:r>
        <w:rPr>
          <w:color w:val="000000"/>
        </w:rPr>
        <w:br/>
        <w:t xml:space="preserve"> 2024 год – 5,9 (</w:t>
      </w:r>
      <w:r>
        <w:rPr>
          <w:color w:val="000000"/>
        </w:rPr>
        <w:t xml:space="preserve">абс</w:t>
      </w:r>
      <w:r>
        <w:rPr>
          <w:color w:val="000000"/>
        </w:rPr>
        <w:t xml:space="preserve">. 25) и 2025 год – 5,3 (</w:t>
      </w:r>
      <w:r>
        <w:rPr>
          <w:color w:val="000000"/>
        </w:rPr>
        <w:t xml:space="preserve">абс</w:t>
      </w:r>
      <w:r>
        <w:rPr>
          <w:color w:val="000000"/>
        </w:rPr>
        <w:t xml:space="preserve">. 23);</w:t>
      </w:r>
    </w:p>
    <w:p>
      <w:pPr>
        <w:spacing w:line="276" w:lineRule="auto"/>
        <w:ind w:firstLine="709"/>
      </w:pPr>
      <w:r>
        <w:rPr>
          <w:color w:val="000000"/>
        </w:rPr>
        <w:t xml:space="preserve">- увеличение числа лиц, впервые в жизни зарегистрированных</w:t>
      </w:r>
      <w:r>
        <w:rPr>
          <w:color w:val="000000"/>
        </w:rPr>
        <w:br/>
        <w:t xml:space="preserve"> с диагнозом «потребление наркотических средств и психотропных веществ с вредными последствиями», на 11,1%, при перерасчете на 100 тыс. населения: 2024 год – 5,4 (</w:t>
      </w:r>
      <w:r>
        <w:rPr>
          <w:color w:val="000000"/>
        </w:rPr>
        <w:t xml:space="preserve">абс</w:t>
      </w:r>
      <w:r>
        <w:rPr>
          <w:color w:val="000000"/>
        </w:rPr>
        <w:t xml:space="preserve">. 23) и 2025 год – 6,0 (</w:t>
      </w:r>
      <w:r>
        <w:rPr>
          <w:color w:val="000000"/>
        </w:rPr>
        <w:t xml:space="preserve">абс</w:t>
      </w:r>
      <w:r>
        <w:rPr>
          <w:color w:val="000000"/>
        </w:rPr>
        <w:t xml:space="preserve">. 26), из них среди несовершеннолетних – увеличение с 4 случаев (3,9 на 100 тысяч населения) в 2024 году до 7 случаев (6,6 на 100 тысяч населения) в 2025 году;</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на 9,8%, при перерасчете на 100 тыс. населения: 2024 год – 6,1 (</w:t>
      </w:r>
      <w:r>
        <w:rPr>
          <w:color w:val="000000"/>
        </w:rPr>
        <w:t xml:space="preserve">абс</w:t>
      </w:r>
      <w:r>
        <w:rPr>
          <w:color w:val="000000"/>
        </w:rPr>
        <w:t xml:space="preserve">. 26) и 2025 год – 5,5 (</w:t>
      </w:r>
      <w:r>
        <w:rPr>
          <w:color w:val="000000"/>
        </w:rPr>
        <w:t xml:space="preserve">абс</w:t>
      </w:r>
      <w:r>
        <w:rPr>
          <w:color w:val="000000"/>
        </w:rPr>
        <w:t xml:space="preserve">. 24).</w:t>
      </w:r>
    </w:p>
    <w:p>
      <w:pPr>
        <w:spacing w:line="276" w:lineRule="auto"/>
        <w:ind w:firstLine="709"/>
      </w:pPr>
      <w:r>
        <w:rPr>
          <w:color w:val="000000"/>
        </w:rPr>
        <w:t xml:space="preserve">11) </w:t>
      </w:r>
      <w:r>
        <w:rPr>
          <w:b/>
          <w:bCs/>
          <w:color w:val="000000"/>
          <w:u w:val="single"/>
        </w:rPr>
        <w:t xml:space="preserve">г. Урай</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33,3%, при перерасчете на 100 тыс. населения: 2024 год – 79,9 (</w:t>
      </w:r>
      <w:r>
        <w:rPr>
          <w:color w:val="000000"/>
        </w:rPr>
        <w:t xml:space="preserve">абс</w:t>
      </w:r>
      <w:r>
        <w:rPr>
          <w:color w:val="000000"/>
        </w:rPr>
        <w:t xml:space="preserve">. 33) и 2025 год – 53,3 (</w:t>
      </w:r>
      <w:r>
        <w:rPr>
          <w:color w:val="000000"/>
        </w:rPr>
        <w:t xml:space="preserve">абс</w:t>
      </w:r>
      <w:r>
        <w:rPr>
          <w:color w:val="000000"/>
        </w:rPr>
        <w:t xml:space="preserve">. 22);</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6,6%, при перерасчете на 100 тыс. населения: 2024 год – 36,3 (</w:t>
      </w:r>
      <w:r>
        <w:rPr>
          <w:color w:val="000000"/>
        </w:rPr>
        <w:t xml:space="preserve">абс</w:t>
      </w:r>
      <w:r>
        <w:rPr>
          <w:color w:val="000000"/>
        </w:rPr>
        <w:t xml:space="preserve">. 15) и 2025 год – 33,9 (</w:t>
      </w:r>
      <w:r>
        <w:rPr>
          <w:color w:val="000000"/>
        </w:rPr>
        <w:t xml:space="preserve">абс</w:t>
      </w:r>
      <w:r>
        <w:rPr>
          <w:color w:val="000000"/>
        </w:rPr>
        <w:t xml:space="preserve">. 14), несовершеннолетних этой категории в 2024-2025 годах не зарегистрировано;</w:t>
      </w:r>
    </w:p>
    <w:p>
      <w:pPr>
        <w:spacing w:line="276" w:lineRule="auto"/>
        <w:ind w:firstLine="709"/>
      </w:pPr>
      <w:r>
        <w:rPr>
          <w:color w:val="000000"/>
        </w:rPr>
        <w:t xml:space="preserve">- стабилизация показателя на уровне 2024 года по числу лиц, зарегистрированных впервые в жизни с диагнозом «наркомания»,</w:t>
      </w:r>
      <w:r>
        <w:rPr>
          <w:color w:val="000000"/>
        </w:rPr>
        <w:br/>
        <w:t xml:space="preserve"> при перерасчете на 100 тыс. населения: 2024 г. и 2025 год – 7,3 (</w:t>
      </w:r>
      <w:r>
        <w:rPr>
          <w:color w:val="000000"/>
        </w:rPr>
        <w:t xml:space="preserve">абс</w:t>
      </w:r>
      <w:r>
        <w:rPr>
          <w:color w:val="000000"/>
        </w:rPr>
        <w:t xml:space="preserve">. 3);</w:t>
      </w:r>
    </w:p>
    <w:p>
      <w:pPr>
        <w:spacing w:line="276" w:lineRule="auto"/>
        <w:ind w:firstLine="709"/>
      </w:pPr>
      <w:r>
        <w:rPr>
          <w:color w:val="000000"/>
        </w:rPr>
        <w:t xml:space="preserve">- увеличение числа лиц, впервые в жизни зарегистрир</w:t>
      </w:r>
      <w:r>
        <w:rPr>
          <w:color w:val="000000"/>
        </w:rPr>
        <w:t xml:space="preserve">ованных с диагнозом «потребление наркотических средств и психотропных веществ с вредными последствиями», с 0 случаев в 2024 году до 3 случаев (7,3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 в 2024 году до 1 случая (2,4 на 100 тысяч населения) в 2025 году.</w:t>
      </w:r>
    </w:p>
    <w:p>
      <w:pPr>
        <w:spacing w:line="276" w:lineRule="auto"/>
        <w:ind w:firstLine="709"/>
      </w:pPr>
      <w:r>
        <w:rPr>
          <w:color w:val="000000"/>
        </w:rPr>
        <w:t xml:space="preserve">12) </w:t>
      </w:r>
      <w:r>
        <w:rPr>
          <w:b/>
          <w:bCs/>
          <w:color w:val="000000"/>
          <w:u w:val="single"/>
        </w:rPr>
        <w:t xml:space="preserve">г. Ханты-Мансийск</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увеличение числа лиц, зарегистрированных с диагнозом «наркомания», на 1,2%, при перерасчете на 100 тыс. населения: 2024 год – 172,1 (</w:t>
      </w:r>
      <w:r>
        <w:rPr>
          <w:color w:val="000000"/>
        </w:rPr>
        <w:t xml:space="preserve">абс</w:t>
      </w:r>
      <w:r>
        <w:rPr>
          <w:color w:val="000000"/>
        </w:rPr>
        <w:t xml:space="preserve">. 194) и 2025 год – 174,2 (</w:t>
      </w:r>
      <w:r>
        <w:rPr>
          <w:color w:val="000000"/>
        </w:rPr>
        <w:t xml:space="preserve">абс</w:t>
      </w:r>
      <w:r>
        <w:rPr>
          <w:color w:val="000000"/>
        </w:rPr>
        <w:t xml:space="preserve">. 198);</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12,3%, при перерасчете на 100 тыс. населения: 2024 год – 20,4 (</w:t>
      </w:r>
      <w:r>
        <w:rPr>
          <w:color w:val="000000"/>
        </w:rPr>
        <w:t xml:space="preserve">абс</w:t>
      </w:r>
      <w:r>
        <w:rPr>
          <w:color w:val="000000"/>
        </w:rPr>
        <w:t xml:space="preserve">. 23) и 2025 год – 22,9 (</w:t>
      </w:r>
      <w:r>
        <w:rPr>
          <w:color w:val="000000"/>
        </w:rPr>
        <w:t xml:space="preserve">абс</w:t>
      </w:r>
      <w:r>
        <w:rPr>
          <w:color w:val="000000"/>
        </w:rPr>
        <w:t xml:space="preserve">. 26), из них среди несовершеннолетних – сохранение уровня прошлого года, по 1 случаю соответственно, при перерасчете на 100 тыс. детско-подросткового населения: 2024 год и 2025 год – 3,8 соответственно;</w:t>
      </w:r>
    </w:p>
    <w:p>
      <w:pPr>
        <w:spacing w:line="276" w:lineRule="auto"/>
        <w:ind w:firstLine="709"/>
      </w:pPr>
      <w:r>
        <w:rPr>
          <w:color w:val="000000"/>
        </w:rPr>
        <w:t xml:space="preserve">- снижение числа лиц с впервые в жизни установленным диагнозом «наркомания» на 8,1%, при перерасчете на 100 тыс. населения: 2024 год – 12,4 (</w:t>
      </w:r>
      <w:r>
        <w:rPr>
          <w:color w:val="000000"/>
        </w:rPr>
        <w:t xml:space="preserve">абс</w:t>
      </w:r>
      <w:r>
        <w:rPr>
          <w:color w:val="000000"/>
        </w:rPr>
        <w:t xml:space="preserve">. 14) и 2025 год – 11,4 (</w:t>
      </w:r>
      <w:r>
        <w:rPr>
          <w:color w:val="000000"/>
        </w:rPr>
        <w:t xml:space="preserve">абс</w:t>
      </w:r>
      <w:r>
        <w:rPr>
          <w:color w:val="000000"/>
        </w:rPr>
        <w:t xml:space="preserve">. 13);</w:t>
      </w:r>
    </w:p>
    <w:p>
      <w:pPr>
        <w:spacing w:line="276" w:lineRule="auto"/>
        <w:ind w:firstLine="709"/>
      </w:pPr>
      <w:r>
        <w:rPr>
          <w:color w:val="000000"/>
        </w:rPr>
        <w:t xml:space="preserve">- снижение числа лиц, впервые зарегистрированных с диагнозом «потребление наркотических средств и психотропных веществ с вредными</w:t>
      </w:r>
      <w:r>
        <w:rPr>
          <w:color w:val="000000"/>
        </w:rPr>
        <w:t xml:space="preserve"> последствиями», с 7 случаев (6,2 на 100 тысяч населения) в 2024 году до 4 случаев (3,5 на 100 тысяч населения) в 2025 году, из них среди несовершеннолетних – уменьшение с 1 случая (3,8 на 100 тысяч несовершеннолетних) в 2024 году до 0 случаев в 2025 году;</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2 случаев (1,8 на 100 тысяч населения) в 2024 году до 1 случая (0,9 на 100 тысяч населения) в 2025 году.</w:t>
      </w:r>
    </w:p>
    <w:p>
      <w:pPr>
        <w:spacing w:line="276" w:lineRule="auto"/>
        <w:ind w:firstLine="709"/>
      </w:pPr>
      <w:r>
        <w:rPr>
          <w:color w:val="000000"/>
        </w:rPr>
        <w:t xml:space="preserve">13) </w:t>
      </w:r>
      <w:r>
        <w:rPr>
          <w:b/>
          <w:bCs/>
          <w:color w:val="000000"/>
          <w:u w:val="single"/>
        </w:rPr>
        <w:t xml:space="preserve">г. </w:t>
      </w:r>
      <w:r>
        <w:rPr>
          <w:b/>
          <w:bCs/>
          <w:color w:val="000000"/>
          <w:u w:val="single"/>
        </w:rPr>
        <w:t xml:space="preserve">Югорск</w:t>
      </w:r>
      <w:r>
        <w:rPr>
          <w:b/>
          <w:bCs/>
          <w:color w:val="000000"/>
          <w:u w:val="single"/>
        </w:rPr>
        <w:t xml:space="preserve">.</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11,2%, при перерасчете на 100 тыс. населения: 2024 год – 210,7 (</w:t>
      </w:r>
      <w:r>
        <w:rPr>
          <w:color w:val="000000"/>
        </w:rPr>
        <w:t xml:space="preserve">абс</w:t>
      </w:r>
      <w:r>
        <w:rPr>
          <w:color w:val="000000"/>
        </w:rPr>
        <w:t xml:space="preserve">. 83) и 2025 год – 187,0 (</w:t>
      </w:r>
      <w:r>
        <w:rPr>
          <w:color w:val="000000"/>
        </w:rPr>
        <w:t xml:space="preserve">абс</w:t>
      </w:r>
      <w:r>
        <w:rPr>
          <w:color w:val="000000"/>
        </w:rPr>
        <w:t xml:space="preserve">. 74);</w:t>
      </w:r>
    </w:p>
    <w:p>
      <w:pPr>
        <w:spacing w:line="276" w:lineRule="auto"/>
        <w:ind w:firstLine="709"/>
      </w:pPr>
      <w:r>
        <w:rPr>
          <w:color w:val="000000"/>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20,5%, при перерасчете на 100 тыс. населения: 2024 год – 38,1 (</w:t>
      </w:r>
      <w:r>
        <w:rPr>
          <w:color w:val="000000"/>
        </w:rPr>
        <w:t xml:space="preserve">абс</w:t>
      </w:r>
      <w:r>
        <w:rPr>
          <w:color w:val="000000"/>
        </w:rPr>
        <w:t xml:space="preserve">. 15) и 2025 год – 30,3 (</w:t>
      </w:r>
      <w:r>
        <w:rPr>
          <w:color w:val="000000"/>
        </w:rPr>
        <w:t xml:space="preserve">абс</w:t>
      </w:r>
      <w:r>
        <w:rPr>
          <w:color w:val="000000"/>
        </w:rPr>
        <w:t xml:space="preserve">. 12), несовершеннолетних этой категории в 2024-2025 годах не зарегистрировано;</w:t>
      </w:r>
    </w:p>
    <w:p>
      <w:pPr>
        <w:spacing w:line="276" w:lineRule="auto"/>
        <w:ind w:firstLine="709"/>
      </w:pPr>
      <w:r>
        <w:rPr>
          <w:color w:val="000000"/>
        </w:rPr>
        <w:t xml:space="preserve">-  увеличение числа лиц с впервые в жизни установленным диагнозом «наркомания» с 0 случаев в 2024 году до 1 случая (2,5 на 100 тысяч населения) в 2025 году;</w:t>
      </w:r>
    </w:p>
    <w:p>
      <w:pPr>
        <w:spacing w:line="276" w:lineRule="auto"/>
        <w:ind w:firstLine="709"/>
      </w:pPr>
      <w:r>
        <w:rPr>
          <w:color w:val="000000"/>
        </w:rPr>
        <w:t xml:space="preserve">- уменьшение числа лиц с впервые в жизни уст</w:t>
      </w:r>
      <w:r>
        <w:rPr>
          <w:color w:val="000000"/>
        </w:rPr>
        <w:t xml:space="preserve">ановленным диагнозом «потребление наркотических средств и психотропных веществ с вредными последствиями» с 2 случаев (5,1 на 100 тысяч населения) в 2024 году до 0 случаев в 2025 году, несовершеннолетних этой категории в 2024-2025 годах не зарегистрировано;</w:t>
      </w:r>
    </w:p>
    <w:p>
      <w:pPr>
        <w:spacing w:line="276" w:lineRule="auto"/>
        <w:ind w:firstLine="709"/>
      </w:pPr>
      <w:r>
        <w:rPr>
          <w:color w:val="000000"/>
        </w:rP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color w:val="000000"/>
        </w:rPr>
        <w:t xml:space="preserve">14) </w:t>
      </w:r>
      <w:r>
        <w:rPr>
          <w:b/>
          <w:bCs/>
          <w:color w:val="000000"/>
          <w:u w:val="single"/>
        </w:rPr>
        <w:t xml:space="preserve">Белоярский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увеличение числа лиц, зарегистрированных с диагнозом «наркомания», с 2 случаев (7,0 на 100 тысяч населения) в 2024 году</w:t>
      </w:r>
      <w:r>
        <w:rPr>
          <w:color w:val="000000"/>
        </w:rPr>
        <w:br/>
        <w:t xml:space="preserve"> до 3 случаев (10,6 на 100 тысяч населения) в 2025 году;</w:t>
      </w:r>
    </w:p>
    <w:p>
      <w:pPr>
        <w:spacing w:line="276" w:lineRule="auto"/>
        <w:ind w:firstLine="709"/>
      </w:pPr>
      <w:r>
        <w:rPr>
          <w:color w:val="000000"/>
        </w:rPr>
        <w:t xml:space="preserve">-</w:t>
      </w: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по 2 случая соответственно, при перерасчете на 100 тыс. населения: 2024 год – 7,0</w:t>
      </w:r>
      <w:r>
        <w:rPr>
          <w:color w:val="000000"/>
        </w:rPr>
        <w:br/>
        <w:t xml:space="preserve"> и 2025 год – 7,1. За счет изменения общей численности населения</w:t>
      </w:r>
      <w:r>
        <w:rPr>
          <w:color w:val="000000"/>
        </w:rPr>
        <w:br/>
        <w:t xml:space="preserve"> в муниципальном образовании отмечается увеличение болезненности пагубным с вредными последствиями употреблением наркотиков на 1,4%, несовершеннолетних этой категории в 2024-2025 годах не зарегистрировано;</w:t>
      </w:r>
    </w:p>
    <w:p>
      <w:pPr>
        <w:spacing w:line="276" w:lineRule="auto"/>
        <w:ind w:firstLine="709"/>
      </w:pPr>
      <w:r>
        <w:rPr>
          <w:color w:val="000000"/>
        </w:rPr>
        <w:t xml:space="preserve">- первичная заболеваемость наркоманией в 2024-2025 годах не зарегистрирована;</w:t>
      </w:r>
    </w:p>
    <w:p>
      <w:pPr>
        <w:spacing w:line="276" w:lineRule="auto"/>
        <w:ind w:firstLine="709"/>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1 случая (3,5 на 100 тысяч населения) в 2025 году.</w:t>
      </w:r>
    </w:p>
    <w:p>
      <w:pPr>
        <w:spacing w:line="276" w:lineRule="auto"/>
        <w:ind w:firstLine="709"/>
      </w:pPr>
      <w:r>
        <w:rPr>
          <w:color w:val="000000"/>
          <w:highlight w:val="none"/>
        </w:rPr>
      </w:r>
      <w:r>
        <w:rPr>
          <w:color w:val="000000"/>
          <w:highlight w:val="none"/>
        </w:rPr>
      </w:r>
    </w:p>
    <w:p>
      <w:pPr>
        <w:spacing w:line="276" w:lineRule="auto"/>
        <w:ind w:firstLine="709"/>
        <w:rPr>
          <w:color w:val="000000"/>
          <w:highlight w:val="none"/>
        </w:rPr>
      </w:pPr>
      <w:r>
        <w:rPr>
          <w:color w:val="000000"/>
        </w:rPr>
        <w:t xml:space="preserve">15) </w:t>
      </w:r>
      <w:r>
        <w:rPr>
          <w:b/>
          <w:bCs/>
          <w:color w:val="000000"/>
          <w:u w:val="single"/>
        </w:rPr>
        <w:t xml:space="preserve">Берёзовский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с 2 случаев (8,8 на 100 тысяч населения) в 2024 году</w:t>
      </w:r>
      <w:r>
        <w:rPr>
          <w:color w:val="000000"/>
        </w:rPr>
        <w:br/>
        <w:t xml:space="preserve"> до 1 случая (4,4 на 100 тысяч населения) в 2025 году;</w:t>
      </w:r>
    </w:p>
    <w:p>
      <w:pPr>
        <w:spacing w:line="276" w:lineRule="auto"/>
        <w:ind w:firstLine="709"/>
      </w:pPr>
      <w:r>
        <w:rPr>
          <w:color w:val="000000"/>
        </w:rPr>
        <w:t xml:space="preserve">- увеличение числа лиц, зарегистри</w:t>
      </w:r>
      <w:r>
        <w:rPr>
          <w:color w:val="000000"/>
        </w:rPr>
        <w:t xml:space="preserve">рованных с диагнозом «потребление наркотических средств и психотропных веществ с вредными последствиями», с 0 случаев в 2024 году до 1 случая (4,4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первичная заболеваемость наркоманией в 2024-2025 годах не зарегистрирована;</w:t>
      </w:r>
    </w:p>
    <w:p>
      <w:pPr>
        <w:spacing w:line="276" w:lineRule="auto"/>
        <w:ind w:firstLine="709"/>
      </w:pPr>
      <w:r>
        <w:rPr>
          <w:color w:val="000000"/>
        </w:rPr>
        <w:t xml:space="preserve">- увеличение числа лиц, впервые в жизни зарегистр</w:t>
      </w:r>
      <w:r>
        <w:rPr>
          <w:color w:val="000000"/>
        </w:rPr>
        <w:t xml:space="preserve">ированных с диагнозом «потребление наркотических средств и психотропных веществ с вредными последствиями» с 0 случаев в 2024 году до 1 случая (4,4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color w:val="000000"/>
          <w:highlight w:val="none"/>
        </w:rPr>
      </w:r>
      <w:r>
        <w:rPr>
          <w:color w:val="000000"/>
          <w:highlight w:val="none"/>
        </w:rPr>
      </w:r>
    </w:p>
    <w:p>
      <w:pPr>
        <w:spacing w:line="276" w:lineRule="auto"/>
        <w:ind w:firstLine="709"/>
        <w:rPr>
          <w:color w:val="000000"/>
          <w:highlight w:val="none"/>
        </w:rPr>
      </w:pPr>
      <w:r>
        <w:rPr>
          <w:color w:val="000000"/>
        </w:rPr>
        <w:t xml:space="preserve">16) </w:t>
      </w:r>
      <w:r>
        <w:rPr>
          <w:b/>
          <w:bCs/>
          <w:color w:val="000000"/>
          <w:u w:val="single"/>
        </w:rPr>
        <w:t xml:space="preserve">Кондинский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«наркомания», при перерасчете</w:t>
      </w:r>
      <w:r>
        <w:rPr>
          <w:color w:val="000000"/>
        </w:rPr>
        <w:br/>
        <w:t xml:space="preserve"> на 100 тыс. населения: 2024 год и 2025 год – 9,9 (</w:t>
      </w:r>
      <w:r>
        <w:rPr>
          <w:color w:val="000000"/>
        </w:rPr>
        <w:t xml:space="preserve">абс</w:t>
      </w:r>
      <w:r>
        <w:rPr>
          <w:color w:val="000000"/>
        </w:rPr>
        <w:t xml:space="preserve">. 3);</w:t>
      </w:r>
    </w:p>
    <w:p>
      <w:pPr>
        <w:spacing w:line="276" w:lineRule="auto"/>
        <w:ind w:firstLine="709"/>
        <w:rPr>
          <w:color w:val="000000"/>
        </w:rPr>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44,8%, при перерасчете на 100 тыс. населения: 2024 год – </w:t>
      </w:r>
    </w:p>
    <w:p>
      <w:pPr>
        <w:spacing w:line="276" w:lineRule="auto"/>
        <w:ind w:firstLine="0"/>
      </w:pPr>
      <w:r>
        <w:rPr>
          <w:color w:val="000000"/>
        </w:rPr>
        <w:t xml:space="preserve">29,7 (</w:t>
      </w:r>
      <w:r>
        <w:rPr>
          <w:color w:val="000000"/>
        </w:rPr>
        <w:t xml:space="preserve">абс</w:t>
      </w:r>
      <w:r>
        <w:rPr>
          <w:color w:val="000000"/>
        </w:rPr>
        <w:t xml:space="preserve">. 9) и 2025 год – 43,0 (</w:t>
      </w:r>
      <w:r>
        <w:rPr>
          <w:color w:val="000000"/>
        </w:rPr>
        <w:t xml:space="preserve">абс</w:t>
      </w:r>
      <w:r>
        <w:rPr>
          <w:color w:val="000000"/>
        </w:rPr>
        <w:t xml:space="preserve">. 13), несовершеннолетних этой категории в 2024-2025 годах не зарегистрировано;</w:t>
      </w:r>
    </w:p>
    <w:p>
      <w:pPr>
        <w:spacing w:line="276" w:lineRule="auto"/>
        <w:ind w:firstLine="709"/>
      </w:pPr>
      <w:r>
        <w:rPr>
          <w:color w:val="000000"/>
        </w:rPr>
        <w:t xml:space="preserve">- первичная заболеваемость наркоманией в 2024-2025 годах не зарегистрирована;</w:t>
      </w:r>
    </w:p>
    <w:p>
      <w:pPr>
        <w:spacing w:line="276" w:lineRule="auto"/>
        <w:ind w:firstLine="709"/>
      </w:pPr>
      <w:r>
        <w:rPr>
          <w:color w:val="000000"/>
        </w:rPr>
        <w:t xml:space="preserve">- стабилизация показателя на уровне 2024 года по числу лиц, зарегистрированных впервые в жизни с диагнозом «потребление наркотических средств с вредными последствиями», по 6 случаев соответственно, при перерасчете на 100 тыс. населения: 2024 год – 19,8 и</w:t>
      </w:r>
      <w:r>
        <w:rPr>
          <w:color w:val="000000"/>
        </w:rPr>
        <w:br/>
        <w:t xml:space="preserve"> 2025 год – 19,9. За сч</w:t>
      </w:r>
      <w:r>
        <w:rPr>
          <w:color w:val="000000"/>
        </w:rPr>
        <w:t xml:space="preserve">ет изменения общей численности населения в муниципальном образовании отмечается увеличение первичной заболеваемости пагубным с вредными последствиями употреблением наркотиков на 0,5%, несовершеннолетних этой категории в 2024-2025 годах не зарегистрировано;</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3 случаев</w:t>
      </w:r>
      <w:r>
        <w:rPr>
          <w:color w:val="000000"/>
        </w:rPr>
        <w:br/>
        <w:t xml:space="preserve"> (9,9 на 100 тысяч населения) в 2024 году до 0 случаев в 2025 году.</w:t>
      </w:r>
    </w:p>
    <w:p>
      <w:pPr>
        <w:spacing w:line="276" w:lineRule="auto"/>
        <w:ind w:firstLine="709"/>
      </w:pPr>
      <w:r>
        <w:rPr>
          <w:color w:val="000000"/>
        </w:rPr>
        <w:t xml:space="preserve">17) </w:t>
      </w:r>
      <w:r>
        <w:rPr>
          <w:b/>
          <w:bCs/>
          <w:color w:val="000000"/>
          <w:u w:val="single"/>
        </w:rPr>
        <w:t xml:space="preserve">Нефтеюганский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14,3%, при перерасчете на 100 тыс. населения: 2024 год – 29,4 (</w:t>
      </w:r>
      <w:r>
        <w:rPr>
          <w:color w:val="000000"/>
        </w:rPr>
        <w:t xml:space="preserve">абс</w:t>
      </w:r>
      <w:r>
        <w:rPr>
          <w:color w:val="000000"/>
        </w:rPr>
        <w:t xml:space="preserve">. 14) и 2025 год – 25,2 (</w:t>
      </w:r>
      <w:r>
        <w:rPr>
          <w:color w:val="000000"/>
        </w:rPr>
        <w:t xml:space="preserve">абс</w:t>
      </w:r>
      <w:r>
        <w:rPr>
          <w:color w:val="000000"/>
        </w:rPr>
        <w:t xml:space="preserve">. 12);</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w:t>
      </w:r>
      <w:r>
        <w:rPr>
          <w:color w:val="000000"/>
        </w:rPr>
        <w:t xml:space="preserve">на 12,5%, при перерасчете на 100 тыс. населения:</w:t>
      </w:r>
      <w:r>
        <w:rPr>
          <w:color w:val="000000"/>
        </w:rPr>
        <w:br/>
        <w:t xml:space="preserve"> 2024 год – 16,8 (</w:t>
      </w:r>
      <w:r>
        <w:rPr>
          <w:color w:val="000000"/>
        </w:rPr>
        <w:t xml:space="preserve">абс</w:t>
      </w:r>
      <w:r>
        <w:rPr>
          <w:color w:val="000000"/>
        </w:rPr>
        <w:t xml:space="preserve">. 8) и 2025 год – 18,9 (</w:t>
      </w:r>
      <w:r>
        <w:rPr>
          <w:color w:val="000000"/>
        </w:rPr>
        <w:t xml:space="preserve">абс</w:t>
      </w:r>
      <w:r>
        <w:rPr>
          <w:color w:val="000000"/>
        </w:rPr>
        <w:t xml:space="preserve">. 9), несовершеннолетних этой категории в 2024-2025 годах не зарегистрировано;</w:t>
      </w:r>
    </w:p>
    <w:p>
      <w:pPr>
        <w:spacing w:line="276" w:lineRule="auto"/>
        <w:ind w:firstLine="709"/>
      </w:pPr>
      <w:r>
        <w:rPr>
          <w:color w:val="000000"/>
        </w:rPr>
        <w:t xml:space="preserve">- первичная заболеваемость наркоманией в 2024-2025 годах не зарегистрирована;</w:t>
      </w:r>
    </w:p>
    <w:p>
      <w:pPr>
        <w:spacing w:line="276" w:lineRule="auto"/>
        <w:ind w:firstLine="709"/>
      </w:pPr>
      <w:r>
        <w:rPr>
          <w:color w:val="000000"/>
        </w:rPr>
        <w:t xml:space="preserve">- увеличение числа лиц, впервые в жизни зарегистрированных</w:t>
      </w:r>
      <w:r>
        <w:rPr>
          <w:color w:val="000000"/>
        </w:rPr>
        <w:br/>
        <w:t xml:space="preserve"> с диагнозом «потребление наркотических средств и психотропных веществ с вредными последствиями», с 0 случаев в 2024 году до 1 случая (2,1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0 случаев</w:t>
      </w:r>
      <w:r>
        <w:rPr>
          <w:color w:val="000000"/>
        </w:rPr>
        <w:br/>
        <w:t xml:space="preserve"> в 2024 году до 1 случая (2,1 на 100 тысяч населения) в 2025 году.</w:t>
      </w:r>
    </w:p>
    <w:p>
      <w:pPr>
        <w:spacing w:line="276" w:lineRule="auto"/>
        <w:ind w:firstLine="709"/>
      </w:pPr>
      <w:r>
        <w:rPr>
          <w:color w:val="000000"/>
        </w:rPr>
        <w:t xml:space="preserve">18) </w:t>
      </w:r>
      <w:r>
        <w:rPr>
          <w:b/>
          <w:bCs/>
          <w:color w:val="000000"/>
          <w:u w:val="single"/>
        </w:rPr>
        <w:t xml:space="preserve">Нижневартовский</w:t>
      </w:r>
      <w:r>
        <w:rPr>
          <w:b/>
          <w:bCs/>
          <w:color w:val="000000"/>
          <w:u w:val="single"/>
        </w:rPr>
        <w:t xml:space="preserve">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на 10,8%, при перерасчете на 100 тыс. населения:</w:t>
      </w:r>
      <w:r>
        <w:rPr>
          <w:color w:val="000000"/>
        </w:rPr>
        <w:br/>
        <w:t xml:space="preserve"> 2024 год – 49,0 (</w:t>
      </w:r>
      <w:r>
        <w:rPr>
          <w:color w:val="000000"/>
        </w:rPr>
        <w:t xml:space="preserve">абс</w:t>
      </w:r>
      <w:r>
        <w:rPr>
          <w:color w:val="000000"/>
        </w:rPr>
        <w:t xml:space="preserve">. 19) и 2025 год – 43,7 (</w:t>
      </w:r>
      <w:r>
        <w:rPr>
          <w:color w:val="000000"/>
        </w:rPr>
        <w:t xml:space="preserve">абс</w:t>
      </w:r>
      <w:r>
        <w:rPr>
          <w:color w:val="000000"/>
        </w:rPr>
        <w:t xml:space="preserve">. 17);</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при перерасчете</w:t>
      </w:r>
      <w:r>
        <w:rPr>
          <w:color w:val="000000"/>
        </w:rPr>
        <w:br/>
        <w:t xml:space="preserve"> на 100 тыс. населения: 2024 г. и 2025 год – 2,6 (</w:t>
      </w:r>
      <w:r>
        <w:rPr>
          <w:color w:val="000000"/>
        </w:rPr>
        <w:t xml:space="preserve">абс</w:t>
      </w:r>
      <w:r>
        <w:rPr>
          <w:color w:val="000000"/>
        </w:rPr>
        <w:t xml:space="preserve">. 1), несовершеннолетних этой категории в 2024-2025 годах не зарегистрировано;</w:t>
      </w:r>
    </w:p>
    <w:p>
      <w:pPr>
        <w:spacing w:line="276" w:lineRule="auto"/>
        <w:ind w:firstLine="709"/>
      </w:pPr>
      <w:r>
        <w:rPr>
          <w:color w:val="000000"/>
        </w:rPr>
        <w:t xml:space="preserve">- уменьшение числа лиц с впервые в жизни установленным диагнозом «наркомания» с 2 случаев (5,2 на 100 тысяч населения) в 2024 году до 0 случаев в 2025 году;</w:t>
      </w:r>
    </w:p>
    <w:p>
      <w:pPr>
        <w:spacing w:line="276" w:lineRule="auto"/>
        <w:ind w:firstLine="709"/>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1 случая</w:t>
      </w:r>
      <w:r>
        <w:rPr>
          <w:color w:val="000000"/>
        </w:rPr>
        <w:br/>
        <w:t xml:space="preserve"> (2,6 на 100 тысяч населения) в 2024 году до 0 случаев в 2025 году.</w:t>
      </w:r>
    </w:p>
    <w:p>
      <w:pPr>
        <w:spacing w:line="276" w:lineRule="auto"/>
        <w:ind w:firstLine="709"/>
      </w:pPr>
      <w:r>
        <w:rPr>
          <w:color w:val="000000"/>
        </w:rPr>
        <w:t xml:space="preserve">19) </w:t>
      </w:r>
      <w:r>
        <w:rPr>
          <w:b/>
          <w:bCs/>
          <w:color w:val="000000"/>
          <w:u w:val="single"/>
        </w:rPr>
        <w:t xml:space="preserve">Октябрьский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уменьшение числа лиц, зарегистрированных с диагнозом «наркомания», с 2 случаев (6,2 на 100 тысяч населения) в 2024 году до 1 случая (3,1 на 100 тысяч населения) в 2025 году;</w:t>
      </w:r>
    </w:p>
    <w:p>
      <w:pPr>
        <w:spacing w:line="276" w:lineRule="auto"/>
        <w:ind w:firstLine="709"/>
      </w:pPr>
      <w:r>
        <w:rPr>
          <w:color w:val="000000"/>
        </w:rPr>
        <w:t xml:space="preserve">- стабилизация показателя на уровне 2024 года по числу лиц, зарегистрированных с диагнозом «потребление наркотических средств и </w:t>
      </w:r>
      <w:r>
        <w:rPr>
          <w:color w:val="000000"/>
        </w:rPr>
        <w:t xml:space="preserve">психотропных веществ с вредными последствиями», при перерасчете</w:t>
      </w:r>
      <w:r>
        <w:rPr>
          <w:color w:val="000000"/>
        </w:rPr>
        <w:br/>
        <w:t xml:space="preserve"> на 100 тыс. населения: 2024 г. и 2025 год – 9,4 (</w:t>
      </w:r>
      <w:r>
        <w:rPr>
          <w:color w:val="000000"/>
        </w:rPr>
        <w:t xml:space="preserve">абс</w:t>
      </w:r>
      <w:r>
        <w:rPr>
          <w:color w:val="000000"/>
        </w:rPr>
        <w:t xml:space="preserve">. 3), несовершеннолетних этой категории в 2024-2025 годах не зарегистрировано;</w:t>
      </w:r>
    </w:p>
    <w:p>
      <w:pPr>
        <w:spacing w:line="276" w:lineRule="auto"/>
        <w:ind w:firstLine="709"/>
      </w:pPr>
      <w:r>
        <w:rPr>
          <w:color w:val="000000"/>
        </w:rPr>
        <w:t xml:space="preserve">- первичная заболеваемость наркоманией в 2024-2025 годах не зарегистрирована;</w:t>
      </w:r>
    </w:p>
    <w:p>
      <w:pPr>
        <w:spacing w:line="276" w:lineRule="auto"/>
        <w:ind w:firstLine="709"/>
      </w:pPr>
      <w:r>
        <w:rPr>
          <w:color w:val="000000"/>
        </w:rPr>
        <w:t xml:space="preserve">- первичная заболеваемость пагубным с вредными последствиями употреблением наркотиков в 2024-2025 годах не зарегистрирована;</w:t>
      </w:r>
    </w:p>
    <w:p>
      <w:pPr>
        <w:spacing w:line="276" w:lineRule="auto"/>
        <w:ind w:firstLine="709"/>
      </w:pPr>
      <w:r>
        <w:rPr>
          <w:color w:val="000000"/>
        </w:rP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color w:val="000000"/>
        </w:rPr>
        <w:t xml:space="preserve">20) </w:t>
      </w:r>
      <w:r>
        <w:rPr>
          <w:b/>
          <w:bCs/>
          <w:color w:val="000000"/>
          <w:u w:val="single"/>
        </w:rPr>
        <w:t xml:space="preserve">Советский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увеличение числа лиц, зарегистрированных с диагнозом «наркомания», на 1,7%, при перерасчете на 100 тыс. населения: 2024 год – 212,2 (</w:t>
      </w:r>
      <w:r>
        <w:rPr>
          <w:color w:val="000000"/>
        </w:rPr>
        <w:t xml:space="preserve">абс</w:t>
      </w:r>
      <w:r>
        <w:rPr>
          <w:color w:val="000000"/>
        </w:rPr>
        <w:t xml:space="preserve">. 99) и 2025 год – 215,8 (</w:t>
      </w:r>
      <w:r>
        <w:rPr>
          <w:color w:val="000000"/>
        </w:rPr>
        <w:t xml:space="preserve">абс</w:t>
      </w:r>
      <w:r>
        <w:rPr>
          <w:color w:val="000000"/>
        </w:rPr>
        <w:t xml:space="preserve">. 101);</w:t>
      </w:r>
    </w:p>
    <w:p>
      <w:pPr>
        <w:spacing w:line="276" w:lineRule="auto"/>
        <w:ind w:firstLine="709"/>
      </w:pPr>
      <w:r>
        <w:rPr>
          <w:color w:val="000000"/>
        </w:rPr>
        <w:t xml:space="preserve">- стаб</w:t>
      </w:r>
      <w:r>
        <w:rPr>
          <w:color w:val="000000"/>
        </w:rPr>
        <w:t xml:space="preserve">илизация показателя на уровне 2024 года по числу лиц, зарегистрированных с диагнозом «потребление наркотических средств и психотропных веществ с вредными последствиями», по 16 случаев соответственно, при перерасчете на 100 тыс. населения: 2024 год – 34,3 и</w:t>
      </w:r>
      <w:r>
        <w:rPr>
          <w:color w:val="000000"/>
        </w:rPr>
        <w:br/>
        <w:t xml:space="preserve"> 2025 год – 34,2. За счет изменения общей численности населения</w:t>
      </w:r>
      <w:r>
        <w:rPr>
          <w:color w:val="000000"/>
        </w:rPr>
        <w:br/>
        <w:t xml:space="preserve"> в муниципальном образовании отмечается уменьшение болезненности пагубным с вредными последствиями употреблением наркотиков на 0,3%, несовершеннолетних этой категории в 2024-2025 годах не зарегистрировано;</w:t>
      </w:r>
    </w:p>
    <w:p>
      <w:pPr>
        <w:spacing w:line="276" w:lineRule="auto"/>
        <w:ind w:firstLine="709"/>
      </w:pPr>
      <w:r>
        <w:rPr>
          <w:color w:val="000000"/>
        </w:rPr>
        <w:t xml:space="preserve">- увеличение числа лиц с впервые в жизни установленным диагнозом «наркомания» с 3 случаев (6,4 на 100 тысяч населения) в 2024 году до 4 случаев (8,5 на 100 тысяч населения) в 2025 году;</w:t>
      </w:r>
    </w:p>
    <w:p>
      <w:pPr>
        <w:spacing w:line="276" w:lineRule="auto"/>
        <w:ind w:firstLine="709"/>
      </w:pPr>
      <w:r>
        <w:rPr>
          <w:color w:val="000000"/>
        </w:rPr>
        <w:t xml:space="preserve">- увеличение числа лиц, впервые в жизни зарегистрир</w:t>
      </w:r>
      <w:r>
        <w:rPr>
          <w:color w:val="000000"/>
        </w:rPr>
        <w:t xml:space="preserve">ованных с диагнозом «потребление наркотических средств и психотропных веществ с вредными последствиями», с 0 случаев в 2024 году до 2 случаев (4,3 на 100 тысяч населения) в 2025 году, несовершеннолетних этой категории в 2024-2025 годах не зарегистрировано;</w:t>
      </w:r>
    </w:p>
    <w:p>
      <w:pPr>
        <w:spacing w:line="276" w:lineRule="auto"/>
        <w:ind w:firstLine="709"/>
      </w:pPr>
      <w:r>
        <w:rPr>
          <w:color w:val="000000"/>
        </w:rPr>
        <w:t xml:space="preserve">- смертельных отравлений наркотическими средствами и психотропными веществами в 2024-2025 годах не зарегистрировано.</w:t>
      </w:r>
    </w:p>
    <w:p>
      <w:pPr>
        <w:spacing w:line="276" w:lineRule="auto"/>
        <w:ind w:firstLine="709"/>
      </w:pPr>
      <w:r>
        <w:rPr>
          <w:color w:val="000000"/>
        </w:rPr>
        <w:t xml:space="preserve">21) </w:t>
      </w:r>
      <w:r>
        <w:rPr>
          <w:b/>
          <w:bCs/>
          <w:color w:val="000000"/>
          <w:u w:val="single"/>
        </w:rPr>
        <w:t xml:space="preserve">Сургутский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увеличение числа лиц, зарегистрированных с диагнозом «наркомания», на 3,9%, при перерасчете на 100 тыс. населения: 2024 год – 88,1 (</w:t>
      </w:r>
      <w:r>
        <w:rPr>
          <w:color w:val="000000"/>
        </w:rPr>
        <w:t xml:space="preserve">абс</w:t>
      </w:r>
      <w:r>
        <w:rPr>
          <w:color w:val="000000"/>
        </w:rPr>
        <w:t xml:space="preserve">. 115) и 2025 год – 91,5 (</w:t>
      </w:r>
      <w:r>
        <w:rPr>
          <w:color w:val="000000"/>
        </w:rPr>
        <w:t xml:space="preserve">абс</w:t>
      </w:r>
      <w:r>
        <w:rPr>
          <w:color w:val="000000"/>
        </w:rPr>
        <w:t xml:space="preserve">. 120);</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2024 год – 46,7 (</w:t>
      </w:r>
      <w:r>
        <w:rPr>
          <w:color w:val="000000"/>
        </w:rPr>
        <w:t xml:space="preserve">абс</w:t>
      </w:r>
      <w:r>
        <w:rPr>
          <w:color w:val="000000"/>
        </w:rPr>
        <w:t xml:space="preserve">. 61) и 2025 год – 49,5 (</w:t>
      </w:r>
      <w:r>
        <w:rPr>
          <w:color w:val="000000"/>
        </w:rPr>
        <w:t xml:space="preserve">абс</w:t>
      </w:r>
      <w:r>
        <w:rPr>
          <w:color w:val="000000"/>
        </w:rPr>
        <w:t xml:space="preserve">. 65), из них среди несовершеннолетних – увеличение с 4 случаев (11,0 на 100 тысяч населения) в 2024 году до 7 случаев (19,1 на 100 тысяч населения) в 2025 году;</w:t>
      </w:r>
    </w:p>
    <w:p>
      <w:pPr>
        <w:spacing w:line="276" w:lineRule="auto"/>
        <w:ind w:firstLine="709"/>
      </w:pPr>
      <w:r>
        <w:rPr>
          <w:color w:val="000000"/>
        </w:rPr>
        <w:t xml:space="preserve">- снижение числа лиц с впервые в жизни установленным диагнозом «наркомания» на 9,5%, при перерасчете на 100 тыс. населения: 2024 год – 8,4 (</w:t>
      </w:r>
      <w:r>
        <w:rPr>
          <w:color w:val="000000"/>
        </w:rPr>
        <w:t xml:space="preserve">абс</w:t>
      </w:r>
      <w:r>
        <w:rPr>
          <w:color w:val="000000"/>
        </w:rPr>
        <w:t xml:space="preserve">. 11) и 2025 год – 7,6 (</w:t>
      </w:r>
      <w:r>
        <w:rPr>
          <w:color w:val="000000"/>
        </w:rPr>
        <w:t xml:space="preserve">абс</w:t>
      </w:r>
      <w:r>
        <w:rPr>
          <w:color w:val="000000"/>
        </w:rPr>
        <w:t xml:space="preserve">. 10);</w:t>
      </w:r>
    </w:p>
    <w:p>
      <w:pPr>
        <w:spacing w:line="276" w:lineRule="auto"/>
        <w:ind w:firstLine="709"/>
      </w:pPr>
      <w:r>
        <w:rPr>
          <w:color w:val="000000"/>
        </w:rP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на 30,0%, при перерасчете на 100 тыс. населения: 2024 год – 10,0 (</w:t>
      </w:r>
      <w:r>
        <w:rPr>
          <w:color w:val="000000"/>
        </w:rPr>
        <w:t xml:space="preserve">абс</w:t>
      </w:r>
      <w:r>
        <w:rPr>
          <w:color w:val="000000"/>
        </w:rPr>
        <w:t xml:space="preserve">. 13) и 2025 год – 13,0 (</w:t>
      </w:r>
      <w:r>
        <w:rPr>
          <w:color w:val="000000"/>
        </w:rPr>
        <w:t xml:space="preserve">абс</w:t>
      </w:r>
      <w:r>
        <w:rPr>
          <w:color w:val="000000"/>
        </w:rPr>
        <w:t xml:space="preserve">. 17), из них среди несовершеннолетних – увеличение с 1 случая (2,8 на 100 тысяч населения) в 2024 году до 5 случаев (13,7 на 100 тысяч населения) в 2025 году;</w:t>
      </w:r>
    </w:p>
    <w:p>
      <w:pPr>
        <w:spacing w:line="276" w:lineRule="auto"/>
        <w:ind w:firstLine="709"/>
      </w:pPr>
      <w:r>
        <w:rPr>
          <w:color w:val="000000"/>
        </w:rPr>
        <w:t xml:space="preserve">- увеличение количества отравлений наркотическими средствами и психотропными веществами со смертельными исходами с 4 случаев (3,1 на 100 тысяч населения) в 2024 году до 5 случаев (3,8 на 100 тысяч населения) в 2025 году.</w:t>
      </w:r>
    </w:p>
    <w:p>
      <w:pPr>
        <w:spacing w:line="276" w:lineRule="auto"/>
        <w:ind w:firstLine="709"/>
      </w:pPr>
      <w:r>
        <w:rPr>
          <w:color w:val="000000"/>
        </w:rPr>
        <w:t xml:space="preserve">22) </w:t>
      </w:r>
      <w:r>
        <w:rPr>
          <w:b/>
          <w:bCs/>
          <w:color w:val="000000"/>
          <w:u w:val="single"/>
        </w:rPr>
        <w:t xml:space="preserve">Ханты-Мансийский район</w:t>
      </w:r>
      <w:r>
        <w:rPr>
          <w:color w:val="000000"/>
        </w:rPr>
        <w:t xml:space="preserve">. В данном муниципальном образовании прослеживаются следующие тенденции:</w:t>
      </w:r>
    </w:p>
    <w:p>
      <w:pPr>
        <w:spacing w:line="276" w:lineRule="auto"/>
        <w:ind w:firstLine="709"/>
      </w:pPr>
      <w:r>
        <w:rPr>
          <w:color w:val="000000"/>
        </w:rPr>
        <w:t xml:space="preserve">- увеличение числа лиц, зарегистрированных с диагнозом «наркомания», на 8,9%, при перерасчете на 100 тыс. населения: 2024 год – 57,6 (</w:t>
      </w:r>
      <w:r>
        <w:rPr>
          <w:color w:val="000000"/>
        </w:rPr>
        <w:t xml:space="preserve">абс</w:t>
      </w:r>
      <w:r>
        <w:rPr>
          <w:color w:val="000000"/>
        </w:rPr>
        <w:t xml:space="preserve">. 11) и 2025 год – 62,7 (</w:t>
      </w:r>
      <w:r>
        <w:rPr>
          <w:color w:val="000000"/>
        </w:rPr>
        <w:t xml:space="preserve">абс</w:t>
      </w:r>
      <w:r>
        <w:rPr>
          <w:color w:val="000000"/>
        </w:rPr>
        <w:t xml:space="preserve">. 12);</w:t>
      </w:r>
    </w:p>
    <w:p>
      <w:pPr>
        <w:spacing w:line="276" w:lineRule="auto"/>
        <w:ind w:firstLine="709"/>
      </w:pPr>
      <w:r>
        <w:rPr>
          <w:color w:val="000000"/>
        </w:rPr>
        <w:t xml:space="preserve">- увеличение числа лиц, зарегистрированных с диагнозом «потребление наркотических средств и психотропных веществ с вредными последствиями», на 13,9%, при перерасчете на 100 тыс. населения: 2024 год – 36,7 (</w:t>
      </w:r>
      <w:r>
        <w:rPr>
          <w:color w:val="000000"/>
        </w:rPr>
        <w:t xml:space="preserve">абс</w:t>
      </w:r>
      <w:r>
        <w:rPr>
          <w:color w:val="000000"/>
        </w:rPr>
        <w:t xml:space="preserve">. 7) и 2025 год – 41,8 (</w:t>
      </w:r>
      <w:r>
        <w:rPr>
          <w:color w:val="000000"/>
        </w:rPr>
        <w:t xml:space="preserve">абс</w:t>
      </w:r>
      <w:r>
        <w:rPr>
          <w:color w:val="000000"/>
        </w:rPr>
        <w:t xml:space="preserve">. 8), несовершеннолетних этой категории в 2024-2025 годах не зарегистрировано;</w:t>
      </w:r>
    </w:p>
    <w:p>
      <w:pPr>
        <w:spacing w:line="276" w:lineRule="auto"/>
        <w:ind w:firstLine="709"/>
      </w:pPr>
      <w:r>
        <w:rPr>
          <w:color w:val="000000"/>
        </w:rPr>
        <w:t xml:space="preserve">- стабилизация показателя на уровне 2024 года по числу лиц, зарегистрированных впервые в жизни с диагнозом «наркомания»,</w:t>
      </w:r>
      <w:r>
        <w:rPr>
          <w:color w:val="000000"/>
        </w:rPr>
        <w:br/>
        <w:t xml:space="preserve"> при перерасчете на 100 тыс. населения: 2024 г. и 2025 год – 5,2 (</w:t>
      </w:r>
      <w:r>
        <w:rPr>
          <w:color w:val="000000"/>
        </w:rPr>
        <w:t xml:space="preserve">абс</w:t>
      </w:r>
      <w:r>
        <w:rPr>
          <w:color w:val="000000"/>
        </w:rPr>
        <w:t xml:space="preserve">. 1);</w:t>
      </w:r>
    </w:p>
    <w:p>
      <w:pPr>
        <w:spacing w:line="276" w:lineRule="auto"/>
        <w:ind w:firstLine="709"/>
      </w:pPr>
      <w:r>
        <w:rPr>
          <w:color w:val="000000"/>
        </w:rPr>
        <w:t xml:space="preserve">- уменьшение числа лиц с впервые в жизни уста</w:t>
      </w:r>
      <w:r>
        <w:rPr>
          <w:color w:val="000000"/>
        </w:rPr>
        <w:t xml:space="preserve">новленным диагнозом «потребление наркотических средств и психотропных веществ с вредными последствиями» с 2 случаев (10,5 на 100 тысяч населения) в 2024 году до 0 случаев в 2025 году, несовершеннолетних этой категории в 2024-2025 годах не зарегистрировано;</w:t>
      </w:r>
    </w:p>
    <w:p>
      <w:pPr>
        <w:spacing w:line="276" w:lineRule="auto"/>
        <w:ind w:firstLine="709"/>
      </w:pPr>
      <w:r>
        <w:rPr>
          <w:color w:val="000000"/>
        </w:rPr>
        <w:t xml:space="preserve">- уменьшение количества отравлений наркотическими средствами и психотропными веществами со смертельными исходами с 1 случая (5,2 на 100 тысяч населения) в 2024 году до 0 случаев в 2025 году.</w:t>
      </w:r>
    </w:p>
    <w:p>
      <w:pPr>
        <w:spacing w:line="276" w:lineRule="auto"/>
        <w:ind w:firstLine="709"/>
        <w:rPr>
          <w:b/>
        </w:rPr>
      </w:pPr>
      <w:r>
        <w:rPr>
          <w:b/>
        </w:rPr>
      </w:r>
      <w:r>
        <w:rPr>
          <w:b/>
        </w:rPr>
      </w:r>
    </w:p>
    <w:p>
      <w:pPr>
        <w:spacing w:line="276" w:lineRule="auto"/>
        <w:ind w:firstLine="709"/>
        <w:outlineLvl w:val="0"/>
        <w:rPr>
          <w:b/>
          <w:i/>
        </w:rPr>
      </w:pPr>
      <w:r>
        <w:rPr>
          <w:b/>
          <w:i/>
        </w:rPr>
        <w:t xml:space="preserve">Анализ причин произошедших изменений</w:t>
      </w:r>
      <w:r>
        <w:rPr>
          <w:b/>
          <w:i/>
        </w:rPr>
      </w:r>
    </w:p>
    <w:p>
      <w:pPr>
        <w:spacing w:line="276" w:lineRule="auto"/>
        <w:ind w:firstLine="709"/>
      </w:pPr>
      <w:r>
        <w:rPr>
          <w:color w:val="000000"/>
        </w:rPr>
        <w:t xml:space="preserve">В 2025 году в сравнении с 2024 годом в структуре </w:t>
      </w:r>
      <w:r>
        <w:rPr>
          <w:color w:val="000000"/>
        </w:rPr>
        <w:t xml:space="preserve">наркопотребления</w:t>
      </w:r>
      <w:r>
        <w:rPr>
          <w:color w:val="000000"/>
        </w:rPr>
        <w:t xml:space="preserve"> среди лиц, выявленных впервые в жизни в связи с потреблением наркотических средств на фоне увеличения их абсолютного числа, отмечается уменьшение доли потребления других </w:t>
      </w:r>
      <w:r>
        <w:rPr>
          <w:color w:val="000000"/>
        </w:rPr>
        <w:t xml:space="preserve">психостимуляторов</w:t>
      </w:r>
      <w:r>
        <w:rPr>
          <w:color w:val="000000"/>
        </w:rPr>
        <w:t xml:space="preserve"> и </w:t>
      </w:r>
      <w:r>
        <w:rPr>
          <w:color w:val="000000"/>
        </w:rPr>
        <w:t xml:space="preserve">опиоидов</w:t>
      </w:r>
      <w:r>
        <w:rPr>
          <w:color w:val="000000"/>
        </w:rPr>
        <w:t xml:space="preserve">, и увеличение одновременного употребления нескольких наркотических средств.</w:t>
      </w:r>
    </w:p>
    <w:p>
      <w:pPr>
        <w:spacing w:line="276" w:lineRule="auto"/>
        <w:ind w:firstLine="709"/>
      </w:pPr>
      <w:r>
        <w:rPr>
          <w:color w:val="000000"/>
        </w:rPr>
        <w:t xml:space="preserve">В структуре первичной заболеваемости наркоманией за 2025 год, также как в 2024 году, несовершеннолетних зарегистрировано не было.</w:t>
      </w:r>
    </w:p>
    <w:p>
      <w:pPr>
        <w:widowControl w:val="off"/>
        <w:spacing w:line="276" w:lineRule="auto"/>
        <w:ind w:firstLine="709"/>
        <w:rPr>
          <w:color w:val="000000"/>
        </w:rPr>
      </w:pPr>
      <w:r>
        <w:rPr>
          <w:color w:val="000000"/>
        </w:rPr>
        <w:t xml:space="preserve">Ана</w:t>
      </w:r>
      <w:r>
        <w:rPr>
          <w:color w:val="000000"/>
        </w:rPr>
        <w:t xml:space="preserve">лизируя динамику наркологических расстройств, связанных с употреблением наркотических средств и психоактивных веществ в автономном округе, прежде всего, необходимо отметить стабильное </w:t>
      </w:r>
    </w:p>
    <w:p>
      <w:pPr>
        <w:widowControl w:val="off"/>
        <w:spacing w:line="276" w:lineRule="auto"/>
        <w:ind w:firstLine="0"/>
      </w:pPr>
      <w:r>
        <w:rPr>
          <w:color w:val="000000"/>
        </w:rPr>
        <w:t xml:space="preserve">снижение показателей в течение последнего десятилетия. Уровень общей рас</w:t>
      </w:r>
      <w:r>
        <w:rPr>
          <w:color w:val="000000"/>
        </w:rPr>
        <w:t xml:space="preserve">пространенности и первичной заболеваемости наркологическими расстройствами в Югре по сравнению со средним уровнем по Российской Федерации и Уральскому федеральному округу ниже, что обусловлено доступностью государственной наркологической помощи, умеренной </w:t>
      </w:r>
      <w:r>
        <w:rPr>
          <w:color w:val="000000"/>
        </w:rPr>
        <w:t xml:space="preserve">выявляемостью</w:t>
      </w:r>
      <w:r>
        <w:rPr>
          <w:color w:val="000000"/>
        </w:rPr>
        <w:t xml:space="preserve"> наркологических р</w:t>
      </w:r>
      <w:r>
        <w:rPr>
          <w:color w:val="000000"/>
        </w:rPr>
        <w:t xml:space="preserve">асстройств среди населения. Это, в свою очередь, связано с высоким удельным весом городского населения (более 92,4%), оснащенностью наркологической службы, большим охватом трудоспособного населения предварительными и периодическими медицинскими осмотрами. </w:t>
      </w:r>
    </w:p>
    <w:p>
      <w:pPr>
        <w:widowControl w:val="off"/>
        <w:spacing w:line="276" w:lineRule="auto"/>
        <w:ind w:firstLine="709"/>
      </w:pPr>
      <w:r>
        <w:rPr>
          <w:color w:val="000000"/>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w:t>
      </w:r>
      <w:r>
        <w:rPr>
          <w:color w:val="000000"/>
        </w:rPr>
        <w:t xml:space="preserve">мультидисциплинарной</w:t>
      </w:r>
      <w:r>
        <w:rPr>
          <w:color w:val="000000"/>
        </w:rPr>
        <w:t xml:space="preserve"> профилактической работой на межведомственном уровне. </w:t>
      </w:r>
    </w:p>
    <w:p>
      <w:pPr>
        <w:spacing w:line="276" w:lineRule="auto"/>
        <w:ind w:firstLine="709"/>
      </w:pPr>
      <w:r>
        <w:rPr>
          <w:color w:val="000000"/>
        </w:rPr>
        <w:t xml:space="preserve">В современных условиях представляется важным продолжать межведомственное сотрудничество органов системы профилактики с представителями СМИ и информационного пространства, включая средства массовой информации, рекламные агентства, </w:t>
      </w:r>
      <w:r>
        <w:rPr>
          <w:color w:val="000000"/>
        </w:rPr>
        <w:t xml:space="preserve">блогеров</w:t>
      </w:r>
      <w:r>
        <w:rPr>
          <w:color w:val="000000"/>
        </w:rPr>
        <w:t xml:space="preserve">, полиграфические компании и </w:t>
      </w:r>
      <w:r>
        <w:rPr>
          <w:color w:val="000000"/>
        </w:rPr>
        <w:t xml:space="preserve">другие. Данное сотрудничество должно быть направлено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 Также важно просвещать население о </w:t>
      </w:r>
      <w:r>
        <w:rPr>
          <w:color w:val="000000"/>
        </w:rPr>
        <w:t xml:space="preserve">последствиях и ответственности за незаконный оборот психоактивных веществ, включая административные и уголовные наказания, проблемы в семье, трудовую </w:t>
      </w:r>
      <w:r>
        <w:rPr>
          <w:color w:val="000000"/>
        </w:rPr>
        <w:t xml:space="preserve">дезадаптацию</w:t>
      </w:r>
      <w:r>
        <w:rPr>
          <w:color w:val="000000"/>
        </w:rPr>
        <w:t xml:space="preserve"> и личностную деградацию.</w:t>
      </w:r>
    </w:p>
    <w:p>
      <w:pPr>
        <w:spacing w:line="276" w:lineRule="auto"/>
        <w:ind w:firstLine="709"/>
      </w:pPr>
      <w:r>
        <w:rPr>
          <w:color w:val="000000"/>
        </w:rPr>
        <w:t xml:space="preserve">Кроме того, значимую роль играют мероприятия, проводимые правоохранительными органами, по предотвращению ввоза и выявлению каналов сбыта наркотическ</w:t>
      </w:r>
      <w:r>
        <w:rPr>
          <w:color w:val="000000"/>
        </w:rPr>
        <w:t xml:space="preserve">их средств в автономном округе, обнаружению наркопотребителей, а также выявлению и пресечению способов рекламы и информирования о незаконной деятельности в социальных сетях и мессенджерах, а также медицинские меры, направленные на снижение распространения </w:t>
      </w:r>
      <w:r>
        <w:rPr>
          <w:color w:val="000000"/>
        </w:rPr>
        <w:t xml:space="preserve">наркопотребления</w:t>
      </w:r>
      <w:r>
        <w:rPr>
          <w:color w:val="000000"/>
        </w:rPr>
        <w:t xml:space="preserve">, лечебно-профилактические мероприятия для потребителей наркотических средств и психоактивных веществ и реабилитационные программы средней и долгосрочной перспективы.</w:t>
      </w:r>
    </w:p>
    <w:p>
      <w:pPr>
        <w:widowControl w:val="off"/>
        <w:spacing w:line="276" w:lineRule="auto"/>
        <w:ind w:firstLine="709"/>
      </w:pPr>
      <w:r>
        <w:rPr>
          <w:color w:val="000000"/>
        </w:rPr>
        <w:t xml:space="preserve">Регистрация впервые выявленных потребителей наркотических средств и психоактивных веществ, к</w:t>
      </w:r>
      <w:r>
        <w:rPr>
          <w:color w:val="000000"/>
        </w:rPr>
        <w:t xml:space="preserve">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w:t>
      </w:r>
      <w:r>
        <w:rPr>
          <w:color w:val="000000"/>
        </w:rPr>
        <w:t xml:space="preserve">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p>
    <w:p>
      <w:pPr>
        <w:widowControl w:val="off"/>
        <w:spacing w:line="276" w:lineRule="auto"/>
        <w:ind w:firstLine="709"/>
      </w:pPr>
      <w:r>
        <w:rPr>
          <w:color w:val="000000"/>
        </w:rPr>
        <w:t xml:space="preserve">Анализ изменения структуры </w:t>
      </w:r>
      <w:r>
        <w:rPr>
          <w:color w:val="000000"/>
        </w:rPr>
        <w:t xml:space="preserve">наркопотребления</w:t>
      </w:r>
      <w:r>
        <w:rPr>
          <w:color w:val="000000"/>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color w:val="000000"/>
        </w:rPr>
        <w:t xml:space="preserve">полинаркомания</w:t>
      </w:r>
      <w:r>
        <w:rPr>
          <w:color w:val="000000"/>
        </w:rPr>
        <w:t xml:space="preserve">)».</w:t>
      </w:r>
    </w:p>
    <w:p>
      <w:pPr>
        <w:spacing w:line="276" w:lineRule="auto"/>
        <w:ind w:firstLine="708"/>
      </w:pPr>
      <w:r>
        <w:rPr>
          <w:color w:val="000000"/>
          <w:highlight w:val="white"/>
        </w:rPr>
        <w:t xml:space="preserve">Первичная заболеваемость пагубным употреблением наркотиков среди несовершеннолетних в 2025 году составила </w:t>
      </w:r>
      <w:r>
        <w:rPr>
          <w:color w:val="000000"/>
          <w:highlight w:val="white"/>
        </w:rPr>
        <w:t xml:space="preserve">3,</w:t>
      </w:r>
      <w:r>
        <w:rPr>
          <w:color w:val="000000"/>
          <w:highlight w:val="white"/>
        </w:rPr>
        <w:t xml:space="preserve">7</w:t>
      </w:r>
      <w:r>
        <w:rPr>
          <w:color w:val="000000"/>
          <w:highlight w:val="white"/>
        </w:rPr>
        <w:t xml:space="preserve"> на 100 тысяч несовершеннолетних, что на </w:t>
      </w:r>
      <w:r>
        <w:rPr>
          <w:color w:val="000000"/>
          <w:highlight w:val="white"/>
        </w:rPr>
        <w:t xml:space="preserve">3</w:t>
      </w:r>
      <w:r>
        <w:rPr>
          <w:color w:val="000000"/>
          <w:highlight w:val="white"/>
        </w:rPr>
        <w:t xml:space="preserve">2</w:t>
      </w:r>
      <w:r>
        <w:rPr>
          <w:color w:val="000000"/>
          <w:highlight w:val="white"/>
        </w:rPr>
        <w:t xml:space="preserve">,</w:t>
      </w:r>
      <w:r>
        <w:rPr>
          <w:color w:val="000000"/>
          <w:highlight w:val="white"/>
        </w:rPr>
        <w:t xml:space="preserve">1</w:t>
      </w:r>
      <w:r>
        <w:rPr>
          <w:color w:val="000000"/>
          <w:highlight w:val="white"/>
        </w:rPr>
        <w:t xml:space="preserve"> % выше, чем в 2024 году.</w:t>
      </w:r>
      <w:r>
        <w:rPr>
          <w:color w:val="000000"/>
        </w:rPr>
        <w:t xml:space="preserve"> Тенденция на прирост числа несовершеннолетних сложилась за счет качественного межведомственного взаимодействия по профилактике наркологических расстройств, носящего </w:t>
      </w:r>
      <w:r>
        <w:rPr>
          <w:color w:val="000000"/>
        </w:rPr>
        <w:t xml:space="preserve">мультидисциплинарный</w:t>
      </w:r>
      <w:r>
        <w:rPr>
          <w:color w:val="000000"/>
        </w:rPr>
        <w:t xml:space="preserve"> характер, в рамках раннего выявления лиц с эпизодическим употреблением различных психоакти</w:t>
      </w:r>
      <w:r>
        <w:rPr>
          <w:color w:val="000000"/>
        </w:rPr>
        <w:t xml:space="preserve">вных веществ без формирования синдрома зависимости, что является маркером превентивной профилактики факторов риска развития тяжёлых форм наркологических расстройств у несовершеннолетних. Кроме того, в таких городах, как Сургут, Нефтеюганск, Нижневартовск, </w:t>
      </w:r>
      <w:r>
        <w:rPr>
          <w:color w:val="000000"/>
        </w:rPr>
        <w:t xml:space="preserve">Лангепас</w:t>
      </w:r>
      <w:r>
        <w:rPr>
          <w:color w:val="000000"/>
        </w:rPr>
        <w:t xml:space="preserve">, Радужный и Урай, функционируют наркологические кабинеты, специально предназначенные для обслуживания детско-подросткового населения. Эти </w:t>
      </w:r>
      <w:r>
        <w:rPr>
          <w:color w:val="000000"/>
        </w:rPr>
        <w:t xml:space="preserve">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p>
    <w:p>
      <w:pPr>
        <w:widowControl w:val="off"/>
        <w:spacing w:line="276" w:lineRule="auto"/>
        <w:ind w:firstLine="709"/>
        <w:rPr>
          <w:sz w:val="24"/>
          <w:szCs w:val="24"/>
        </w:rPr>
      </w:pPr>
      <w:r>
        <w:rPr>
          <w:color w:val="000000"/>
        </w:rPr>
        <w:t xml:space="preserve">Анализируя итоги работы наркологической службы за 2025 год, можно отметить следующие тенденции:</w:t>
      </w:r>
      <w:r>
        <w:rPr>
          <w:sz w:val="24"/>
          <w:szCs w:val="24"/>
        </w:rPr>
      </w:r>
    </w:p>
    <w:p>
      <w:pPr>
        <w:widowControl w:val="off"/>
        <w:spacing w:line="276" w:lineRule="auto"/>
        <w:ind w:firstLine="709"/>
        <w:rPr>
          <w:sz w:val="24"/>
          <w:szCs w:val="24"/>
        </w:rPr>
      </w:pPr>
      <w:r>
        <w:rPr>
          <w:color w:val="000000"/>
        </w:rPr>
        <w:t xml:space="preserve">- снижение общей заболеваемости наркоманиями среди всего населения;</w:t>
      </w:r>
      <w:r>
        <w:rPr>
          <w:sz w:val="24"/>
          <w:szCs w:val="24"/>
        </w:rPr>
      </w:r>
    </w:p>
    <w:p>
      <w:pPr>
        <w:widowControl w:val="off"/>
        <w:spacing w:line="276" w:lineRule="auto"/>
        <w:ind w:firstLine="709"/>
        <w:rPr>
          <w:sz w:val="24"/>
          <w:szCs w:val="24"/>
        </w:rPr>
      </w:pPr>
      <w:r>
        <w:rPr>
          <w:color w:val="000000"/>
        </w:rPr>
        <w:t xml:space="preserve">- отсутствие общей заболеваемости наркоманиями среди несовершеннолетних;</w:t>
      </w:r>
      <w:r>
        <w:rPr>
          <w:sz w:val="24"/>
          <w:szCs w:val="24"/>
        </w:rPr>
      </w:r>
    </w:p>
    <w:p>
      <w:pPr>
        <w:widowControl w:val="off"/>
        <w:spacing w:line="276" w:lineRule="auto"/>
        <w:ind w:firstLine="709"/>
        <w:rPr>
          <w:sz w:val="24"/>
          <w:szCs w:val="24"/>
        </w:rPr>
      </w:pPr>
      <w:r>
        <w:rPr>
          <w:color w:val="000000"/>
        </w:rPr>
        <w:t xml:space="preserve">- снижение первичной заболеваемости наркоманиями среди всего населения;</w:t>
      </w:r>
      <w:r>
        <w:rPr>
          <w:sz w:val="24"/>
          <w:szCs w:val="24"/>
        </w:rPr>
      </w:r>
    </w:p>
    <w:p>
      <w:pPr>
        <w:widowControl w:val="off"/>
        <w:spacing w:line="276" w:lineRule="auto"/>
        <w:ind w:firstLine="709"/>
        <w:rPr>
          <w:sz w:val="24"/>
          <w:szCs w:val="24"/>
        </w:rPr>
      </w:pPr>
      <w:r>
        <w:rPr>
          <w:color w:val="000000"/>
        </w:rPr>
        <w:t xml:space="preserve">- отсутствие первичной заболеваемости наркоманиями среди несовершеннолетних;</w:t>
      </w:r>
      <w:r>
        <w:rPr>
          <w:sz w:val="24"/>
          <w:szCs w:val="24"/>
        </w:rPr>
      </w:r>
    </w:p>
    <w:p>
      <w:pPr>
        <w:widowControl w:val="off"/>
        <w:spacing w:line="276" w:lineRule="auto"/>
        <w:ind w:firstLine="709"/>
        <w:rPr>
          <w:sz w:val="24"/>
          <w:szCs w:val="24"/>
        </w:rPr>
      </w:pPr>
      <w:r>
        <w:rPr>
          <w:color w:val="000000"/>
        </w:rPr>
        <w:t xml:space="preserve">- уменьшение общей заболеваемости пагубным употреблением наркотиков среди всего населения;</w:t>
      </w:r>
      <w:r>
        <w:rPr>
          <w:sz w:val="24"/>
          <w:szCs w:val="24"/>
        </w:rPr>
      </w:r>
    </w:p>
    <w:p>
      <w:pPr>
        <w:widowControl w:val="off"/>
        <w:spacing w:line="276" w:lineRule="auto"/>
        <w:ind w:firstLine="709"/>
        <w:rPr>
          <w:sz w:val="24"/>
          <w:szCs w:val="24"/>
        </w:rPr>
      </w:pPr>
      <w:r>
        <w:rPr>
          <w:color w:val="000000"/>
        </w:rPr>
        <w:t xml:space="preserve">- увеличение показателя общей заболеваемости пагубным употреблением наркотиков среди несовершеннолетних;</w:t>
      </w:r>
      <w:r>
        <w:rPr>
          <w:sz w:val="24"/>
          <w:szCs w:val="24"/>
        </w:rPr>
      </w:r>
    </w:p>
    <w:p>
      <w:pPr>
        <w:widowControl w:val="off"/>
        <w:spacing w:line="276" w:lineRule="auto"/>
        <w:ind w:firstLine="709"/>
        <w:rPr>
          <w:sz w:val="24"/>
          <w:szCs w:val="24"/>
        </w:rPr>
      </w:pPr>
      <w:r>
        <w:rPr>
          <w:color w:val="000000"/>
        </w:rPr>
        <w:t xml:space="preserve">- уменьшение первичной заболеваемости пагубным употреблением наркотиков среди всего населения;</w:t>
      </w:r>
      <w:r>
        <w:rPr>
          <w:sz w:val="24"/>
          <w:szCs w:val="24"/>
        </w:rPr>
      </w:r>
    </w:p>
    <w:p>
      <w:pPr>
        <w:widowControl w:val="off"/>
        <w:spacing w:line="276" w:lineRule="auto"/>
        <w:ind w:firstLine="709"/>
        <w:rPr>
          <w:sz w:val="24"/>
          <w:szCs w:val="24"/>
        </w:rPr>
      </w:pPr>
      <w:r>
        <w:rPr>
          <w:color w:val="000000"/>
        </w:rPr>
        <w:t xml:space="preserve">- увеличение показателя первичной заболеваемости пагубным употреблением наркотиков среди несовершеннолетних. </w:t>
      </w:r>
      <w:r>
        <w:rPr>
          <w:sz w:val="24"/>
          <w:szCs w:val="24"/>
        </w:rPr>
      </w:r>
    </w:p>
    <w:p>
      <w:pPr>
        <w:widowControl w:val="off"/>
        <w:spacing w:line="276" w:lineRule="auto"/>
        <w:ind w:firstLine="709"/>
        <w:rPr>
          <w:sz w:val="24"/>
          <w:szCs w:val="24"/>
        </w:rPr>
      </w:pPr>
      <w:r>
        <w:rPr>
          <w:color w:val="000000"/>
        </w:rPr>
        <w:t xml:space="preserve">На текущие показатели оказывают влияние меры, предпринимаемые в медицинской сфере на нескольких уровнях:</w:t>
      </w:r>
      <w:r>
        <w:rPr>
          <w:sz w:val="24"/>
          <w:szCs w:val="24"/>
        </w:rPr>
      </w:r>
    </w:p>
    <w:p>
      <w:pPr>
        <w:widowControl w:val="off"/>
        <w:spacing w:line="276" w:lineRule="auto"/>
        <w:ind w:firstLine="709"/>
        <w:rPr>
          <w:sz w:val="24"/>
          <w:szCs w:val="24"/>
        </w:rPr>
      </w:pPr>
      <w:r>
        <w:rPr>
          <w:color w:val="000000"/>
        </w:rPr>
        <w:t xml:space="preserve">Законодательный и организационный уровень:</w:t>
      </w:r>
      <w:r>
        <w:rPr>
          <w:sz w:val="24"/>
          <w:szCs w:val="24"/>
        </w:rPr>
      </w:r>
    </w:p>
    <w:p>
      <w:pPr>
        <w:widowControl w:val="off"/>
        <w:spacing w:line="276" w:lineRule="auto"/>
        <w:ind w:firstLine="709"/>
        <w:rPr>
          <w:sz w:val="24"/>
          <w:szCs w:val="24"/>
        </w:rPr>
      </w:pPr>
      <w:r>
        <w:rPr>
          <w:color w:val="000000"/>
        </w:rPr>
        <w:t xml:space="preserve">- оказание медицинской помощи в соответствии с Порядком оказания медицинской помощи по профилю «психиатрия-наркология»;</w:t>
      </w:r>
      <w:r>
        <w:rPr>
          <w:sz w:val="24"/>
          <w:szCs w:val="24"/>
        </w:rPr>
      </w:r>
    </w:p>
    <w:p>
      <w:pPr>
        <w:widowControl w:val="off"/>
        <w:spacing w:line="276" w:lineRule="auto"/>
        <w:ind w:firstLine="709"/>
        <w:rPr>
          <w:sz w:val="24"/>
          <w:szCs w:val="24"/>
        </w:rPr>
      </w:pPr>
      <w:r>
        <w:rPr>
          <w:color w:val="000000"/>
        </w:rPr>
        <w:t xml:space="preserve">- уста</w:t>
      </w:r>
      <w:r>
        <w:rPr>
          <w:color w:val="000000"/>
        </w:rPr>
        <w:t xml:space="preserve">новление и осуществление наблюдения за больными с наркологическими расстройствами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sz w:val="24"/>
          <w:szCs w:val="24"/>
        </w:rPr>
      </w:r>
    </w:p>
    <w:p>
      <w:pPr>
        <w:widowControl w:val="off"/>
        <w:spacing w:line="276" w:lineRule="auto"/>
        <w:ind w:firstLine="709"/>
        <w:rPr>
          <w:sz w:val="24"/>
          <w:szCs w:val="24"/>
        </w:rPr>
      </w:pPr>
      <w:r>
        <w:rPr>
          <w:color w:val="000000"/>
        </w:rPr>
        <w:t xml:space="preserve">Ресурсно-технический уровень:</w:t>
      </w:r>
      <w:r>
        <w:rPr>
          <w:sz w:val="24"/>
          <w:szCs w:val="24"/>
        </w:rPr>
      </w:r>
    </w:p>
    <w:p>
      <w:pPr>
        <w:widowControl w:val="off"/>
        <w:spacing w:line="276" w:lineRule="auto"/>
        <w:ind w:firstLine="709"/>
        <w:rPr>
          <w:sz w:val="24"/>
          <w:szCs w:val="24"/>
        </w:rPr>
      </w:pPr>
      <w:r>
        <w:rPr>
          <w:color w:val="000000"/>
        </w:rPr>
        <w:t xml:space="preserve">- увеличение объемов химико-токсикологических исследований;</w:t>
      </w:r>
      <w:r>
        <w:rPr>
          <w:sz w:val="24"/>
          <w:szCs w:val="24"/>
        </w:rPr>
      </w:r>
    </w:p>
    <w:p>
      <w:pPr>
        <w:widowControl w:val="off"/>
        <w:spacing w:line="276" w:lineRule="auto"/>
        <w:ind w:firstLine="709"/>
        <w:rPr>
          <w:sz w:val="24"/>
          <w:szCs w:val="24"/>
        </w:rPr>
      </w:pPr>
      <w:r>
        <w:rPr>
          <w:color w:val="000000"/>
        </w:rPr>
        <w:t xml:space="preserve">- обеспечение контроля качества этих исследований.</w:t>
      </w:r>
      <w:r>
        <w:rPr>
          <w:sz w:val="24"/>
          <w:szCs w:val="24"/>
        </w:rPr>
      </w:r>
    </w:p>
    <w:p>
      <w:pPr>
        <w:widowControl w:val="off"/>
        <w:spacing w:line="276" w:lineRule="auto"/>
        <w:ind w:firstLine="709"/>
        <w:rPr>
          <w:sz w:val="24"/>
          <w:szCs w:val="24"/>
        </w:rPr>
      </w:pPr>
      <w:r>
        <w:rPr>
          <w:color w:val="000000"/>
        </w:rPr>
        <w:t xml:space="preserve">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r>
        <w:rPr>
          <w:sz w:val="24"/>
          <w:szCs w:val="24"/>
        </w:rPr>
      </w:r>
    </w:p>
    <w:p>
      <w:pPr>
        <w:spacing w:line="276" w:lineRule="auto"/>
        <w:ind w:firstLine="709"/>
        <w:rPr>
          <w:sz w:val="24"/>
          <w:szCs w:val="24"/>
        </w:rPr>
      </w:pPr>
      <w:r>
        <w:rPr>
          <w:color w:val="000000"/>
        </w:rPr>
        <w:t xml:space="preserve">Кроме того, результаты работы других ведомств, в том числе и междисциплинарное межведомственное взаимодействие позволило, в том числе в связи с изменениями в </w:t>
      </w:r>
      <w:r>
        <w:rPr>
          <w:color w:val="000000"/>
        </w:rPr>
        <w:t xml:space="preserve">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r>
        <w:rPr>
          <w:sz w:val="24"/>
          <w:szCs w:val="24"/>
        </w:rPr>
      </w:r>
    </w:p>
    <w:p>
      <w:pPr>
        <w:spacing w:line="276" w:lineRule="auto"/>
        <w:ind w:firstLine="709"/>
        <w:rPr>
          <w:b/>
        </w:rPr>
      </w:pPr>
      <w:r>
        <w:rPr>
          <w:b/>
        </w:rPr>
      </w:r>
      <w:r>
        <w:rPr>
          <w:b/>
        </w:rPr>
      </w:r>
    </w:p>
    <w:p>
      <w:pPr>
        <w:spacing w:line="276" w:lineRule="auto"/>
        <w:ind w:firstLine="709"/>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rPr>
          <w:b/>
          <w:i/>
        </w:rPr>
      </w:r>
    </w:p>
    <w:p>
      <w:pPr>
        <w:spacing w:line="276" w:lineRule="auto"/>
        <w:ind w:firstLine="709"/>
      </w:pPr>
      <w:bookmarkStart w:id="1" w:name="_Toc89357214"/>
      <w:r>
        <w:t xml:space="preserve">Полевой этап социологического исследования в рамках мониторинга наркоситуации </w:t>
      </w:r>
      <w:r>
        <w:t xml:space="preserve">в Ханты-Мансийском автономном округе – Югре проводился в ноябре 2025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 xml:space="preserve">face</w:t>
      </w:r>
      <w:r>
        <w:t xml:space="preserve">-</w:t>
      </w:r>
      <w:r>
        <w:rPr>
          <w:lang w:val="en-US"/>
        </w:rPr>
        <w:t xml:space="preserve">to</w:t>
      </w:r>
      <w:r>
        <w:t xml:space="preserve">-</w:t>
      </w:r>
      <w:r>
        <w:rPr>
          <w:lang w:val="en-US"/>
        </w:rPr>
        <w:t xml:space="preserve">face</w:t>
      </w:r>
      <w:r>
        <w:rPr>
          <w:color w:val="000000" w:themeColor="text1"/>
        </w:rPr>
        <w:t xml:space="preserve"> по заданному маршруту по месту жительства респондентов</w:t>
      </w:r>
      <w:r>
        <w:t xml:space="preserve"> с использованием маршрутной выборки и квот (пол, возраст). </w:t>
      </w:r>
    </w:p>
    <w:p>
      <w:pPr>
        <w:spacing w:line="276" w:lineRule="auto"/>
        <w:ind w:firstLine="709"/>
      </w:pPr>
      <w:r>
        <w:t xml:space="preserve">В целом, результаты социологического исследования 2025 года демонстрируют достаточно устойчивую и в целом благоприятную ситуацию в Ханты-Мансийском автономном округе – Югре в отношении распространённости наркотиков, восприятия угрозы и уровня </w:t>
      </w:r>
      <w:r>
        <w:t xml:space="preserve">вовлечённости</w:t>
      </w:r>
      <w:r>
        <w:t xml:space="preserve"> населения в рискованные практики. Полученные данные позволяют говорить о преимущественно высоком уровне социальной ответственности </w:t>
      </w:r>
      <w:r>
        <w:t xml:space="preserve">югорчан</w:t>
      </w:r>
      <w:r>
        <w:t xml:space="preserve">, выраженной установке на здоровый образ жизни и об осознании подавляющей частью респондентов потенциальных рисков, связанных с употреблением запрещённых веществ. </w:t>
      </w:r>
    </w:p>
    <w:p>
      <w:pPr>
        <w:spacing w:line="276" w:lineRule="auto"/>
        <w:ind w:firstLine="709"/>
      </w:pPr>
      <w:r>
        <w:rPr>
          <w:bCs/>
          <w:i/>
        </w:rPr>
        <w:t xml:space="preserve">Оценка социальных условий и проблем, беспокоящих население.</w:t>
      </w:r>
      <w:r>
        <w:rPr>
          <w:bCs/>
        </w:rPr>
        <w:t xml:space="preserve"> </w:t>
      </w:r>
      <w:r>
        <w:t xml:space="preserve">Жители автономного округа ощущают определённый запрос на развитие возможностей для проведения свободного времени, однако </w:t>
      </w:r>
      <w:r>
        <w:rPr>
          <w:rFonts w:eastAsiaTheme="minorEastAsia"/>
          <w:color w:val="000000"/>
        </w:rPr>
        <w:t xml:space="preserve">39,4% опрошенных </w:t>
      </w:r>
      <w:r>
        <w:t xml:space="preserve">считают, что такие возможности скорее есть, а </w:t>
      </w:r>
      <w:r>
        <w:rPr>
          <w:rFonts w:eastAsiaTheme="minorEastAsia"/>
          <w:color w:val="000000"/>
        </w:rPr>
        <w:t xml:space="preserve">25,7% уверенно заявили, что возможностей достаточно</w:t>
      </w:r>
      <w:r>
        <w:t xml:space="preserve"> или скорее достаточно. Это свидетельствует о том, что социальная инфраструктура продолжает развиваться в нужном направлении. Говоря о том, чего не хватает в населённых пунктах, респ</w:t>
      </w:r>
      <w:r>
        <w:t xml:space="preserve">онденты чаще всего отмечают новые парки, зоны отдыха, кинотеатры, спортивные площадки, что указывает не на критический дефицит, а на стремление населения к улучшению качества городской среды и расширению досуговых возможностей. Данный результат показывает </w:t>
      </w:r>
      <w:r>
        <w:t xml:space="preserve">высокий уровень социальной активности жителей и их заинтересованность в развитии территории.</w:t>
      </w:r>
    </w:p>
    <w:p>
      <w:pPr>
        <w:pStyle w:val="1650"/>
        <w:spacing w:beforeAutospacing="0" w:after="0" w:afterAutospacing="0" w:line="276" w:lineRule="auto"/>
        <w:ind w:firstLine="709"/>
        <w:jc w:val="both"/>
        <w:rPr>
          <w:sz w:val="28"/>
          <w:szCs w:val="28"/>
        </w:rPr>
      </w:pPr>
      <w:r>
        <w:rPr>
          <w:sz w:val="28"/>
          <w:szCs w:val="28"/>
        </w:rPr>
        <w:t xml:space="preserve">В «тройку» наиболее актуальных проблем городов и посёлков Югры респонденты включили </w:t>
      </w:r>
      <w:r>
        <w:rPr>
          <w:rStyle w:val="1721"/>
          <w:b w:val="0"/>
          <w:sz w:val="28"/>
          <w:szCs w:val="28"/>
        </w:rPr>
        <w:t xml:space="preserve">качество дорог</w:t>
      </w:r>
      <w:r>
        <w:rPr>
          <w:sz w:val="28"/>
          <w:szCs w:val="28"/>
        </w:rPr>
        <w:t xml:space="preserve"> (его отметили </w:t>
      </w:r>
      <w:r>
        <w:rPr>
          <w:rStyle w:val="1721"/>
          <w:b w:val="0"/>
          <w:sz w:val="28"/>
          <w:szCs w:val="28"/>
        </w:rPr>
        <w:t xml:space="preserve">57,3%</w:t>
      </w:r>
      <w:r>
        <w:rPr>
          <w:sz w:val="28"/>
          <w:szCs w:val="28"/>
        </w:rPr>
        <w:t xml:space="preserve"> опрошенных), </w:t>
      </w:r>
      <w:r>
        <w:rPr>
          <w:rStyle w:val="1721"/>
          <w:b w:val="0"/>
          <w:sz w:val="28"/>
          <w:szCs w:val="28"/>
        </w:rPr>
        <w:t xml:space="preserve">алкоголизм (40</w:t>
      </w:r>
      <w:r>
        <w:rPr>
          <w:rStyle w:val="1721"/>
          <w:rFonts w:eastAsia="Arial"/>
          <w:b w:val="0"/>
          <w:sz w:val="28"/>
          <w:szCs w:val="28"/>
        </w:rPr>
        <w:t xml:space="preserve">,0</w:t>
      </w:r>
      <w:r>
        <w:rPr>
          <w:rStyle w:val="1721"/>
          <w:b w:val="0"/>
          <w:sz w:val="28"/>
          <w:szCs w:val="28"/>
        </w:rPr>
        <w:t xml:space="preserve">%)</w:t>
      </w:r>
      <w:r>
        <w:rPr>
          <w:sz w:val="28"/>
          <w:szCs w:val="28"/>
        </w:rPr>
        <w:t xml:space="preserve"> и </w:t>
      </w:r>
      <w:r>
        <w:rPr>
          <w:rStyle w:val="1721"/>
          <w:b w:val="0"/>
          <w:sz w:val="28"/>
          <w:szCs w:val="28"/>
        </w:rPr>
        <w:t xml:space="preserve">наркомани</w:t>
      </w:r>
      <w:r>
        <w:rPr>
          <w:rStyle w:val="1721"/>
          <w:rFonts w:eastAsia="Arial"/>
          <w:b w:val="0"/>
          <w:sz w:val="28"/>
          <w:szCs w:val="28"/>
        </w:rPr>
        <w:t xml:space="preserve">ю</w:t>
      </w:r>
      <w:r>
        <w:rPr>
          <w:rStyle w:val="1721"/>
          <w:b w:val="0"/>
          <w:sz w:val="28"/>
          <w:szCs w:val="28"/>
        </w:rPr>
        <w:t xml:space="preserve"> (37,2%)</w:t>
      </w:r>
      <w:r>
        <w:rPr>
          <w:sz w:val="28"/>
          <w:szCs w:val="28"/>
        </w:rPr>
        <w:t xml:space="preserve">, что отражает напряжённую ситуацию в сфере общественного здоровья и актуальность темы зависимостей для региона. Следует отметить, что в 2024 г. проблему наркомании отметили 20,6%, в 2023 г. – 26,6%.</w:t>
      </w:r>
      <w:r>
        <w:rPr>
          <w:sz w:val="28"/>
          <w:szCs w:val="28"/>
        </w:rPr>
      </w:r>
    </w:p>
    <w:p>
      <w:pPr>
        <w:spacing w:line="276" w:lineRule="auto"/>
        <w:ind w:firstLine="709"/>
      </w:pPr>
      <w:r>
        <w:rPr>
          <w:bCs/>
          <w:i/>
        </w:rPr>
        <w:t xml:space="preserve">Восприятие наркотической угрозы и источников информации.</w:t>
      </w:r>
      <w:r>
        <w:rPr>
          <w:bCs/>
        </w:rPr>
        <w:t xml:space="preserve"> </w:t>
      </w:r>
      <w:r>
        <w:t xml:space="preserve">Респондент</w:t>
      </w:r>
      <w:r>
        <w:t xml:space="preserve">ы демонстрируют высокую степень обеспокоенности распространением наркомании, однако их оценки отличаются умеренностью и взвешенностью. Большинство считают, что проблема присутствует, но не более остро, чем в среднем по России. Около одной трети опрошенных </w:t>
      </w:r>
      <w:r>
        <w:t xml:space="preserve">югорчан</w:t>
      </w:r>
      <w:r>
        <w:t xml:space="preserve"> уверены, что проблема в их населённом пункте выражена в меньшей степени, чем в стране в целом. Это указывает на то, что жители оценивают свою среду </w:t>
      </w:r>
      <w:r>
        <w:t xml:space="preserve">скорее</w:t>
      </w:r>
      <w:r>
        <w:t xml:space="preserve"> как относительно безопасную и контролируемую. Однако большинство респондентов рассматривают проблему наркомании как одну из ключевых угроз для страны в целом: 63,8% считают, что</w:t>
      </w:r>
      <w:r>
        <w:t xml:space="preserve"> наркомания – серьёзная проблема для российского общества, то есть воспринимают её как значимый фактор, влияющий на безопасность, здоровье населения и социальную стабильность. Еще 25,8% респондентов признают наличие проблемы, но оценивают её как менее серь</w:t>
      </w:r>
      <w:r>
        <w:t xml:space="preserve">ёзную по сравнению с другими вызовами, стоящими перед страной. Это может свидетельствовать о смещении фокуса внимания на экономические трудности, политические события или иные социальные проблемы, которые жители считают более приоритетными. Каждый десятый </w:t>
      </w:r>
      <w:r>
        <w:t xml:space="preserve">югорчанин</w:t>
      </w:r>
      <w:r>
        <w:t xml:space="preserve"> (10,4%) заявил, что проблема наркомании его не беспокоит. Подобный показатель может отражать либо отсутствие личного столкновения с ситуацией, либо низкий уровень осведомлённости о последствиях незаконного распространения наркотических веществ. </w:t>
      </w:r>
    </w:p>
    <w:p>
      <w:pPr>
        <w:spacing w:line="276" w:lineRule="auto"/>
        <w:ind w:firstLine="709"/>
      </w:pPr>
      <w:r>
        <w:t xml:space="preserve">Источник информации о наркотиках в основном – СМИ и интернет (указали</w:t>
      </w:r>
      <w:r>
        <w:t xml:space="preserve"> 56,9%), что логично в условиях цифровой эпохи. Важным является тот факт, что лишь незначительная часть респондентов знакомы с информацией о наркотиках по личному опыту (12,7%) или слышали о них в собственном кругу общения (30,4%), что подтверждает низкую </w:t>
      </w:r>
      <w:r>
        <w:t xml:space="preserve">вовлечённость</w:t>
      </w:r>
      <w:r>
        <w:t xml:space="preserve"> молодёжи и взрослых в потребительскую субкультуру. </w:t>
      </w:r>
    </w:p>
    <w:p>
      <w:pPr>
        <w:spacing w:line="276" w:lineRule="auto"/>
        <w:ind w:firstLine="709"/>
      </w:pPr>
      <w:r>
        <w:t xml:space="preserve">Югорчане</w:t>
      </w:r>
      <w:r>
        <w:t xml:space="preserve"> выделяют ряд факторов, которые, по их мнению, способствуют распространению наркотиков в регионе. В ТОП-5 причин вошли моральная деградация и вседозволенность (отметили 46,9% </w:t>
      </w:r>
      <w:r>
        <w:t xml:space="preserve">опрошенных)</w:t>
      </w:r>
      <w:r>
        <w:t xml:space="preserve">; влияние наркобизнеса и доступность наркотиков (43,8%); неудовлетворённость жизнью и социальное неблагополучие (41,4%); безработица и экономические трудности (33,2%); излишняя свобода, дефицит организованного досуга (32,7%). Таким образом, население видит</w:t>
      </w:r>
      <w:r>
        <w:t xml:space="preserve"> проблему наркомании комплексно: она связана не только с доступностью наркотиков и влиянием криминальных структур, но и с социально-экономическими трудностями, недостатком досуга, слабой профилактикой и общими ценностными дефицитами, имеющимися в обществе.</w:t>
      </w:r>
    </w:p>
    <w:p>
      <w:pPr>
        <w:spacing w:line="276" w:lineRule="auto"/>
        <w:ind w:firstLine="709"/>
      </w:pPr>
      <w:r>
        <w:rPr>
          <w:bCs/>
          <w:i/>
        </w:rPr>
        <w:t xml:space="preserve">Распространённость употребления и непосредственная личная </w:t>
      </w:r>
      <w:r>
        <w:rPr>
          <w:bCs/>
          <w:i/>
        </w:rPr>
        <w:t xml:space="preserve">вовлечённость</w:t>
      </w:r>
      <w:r>
        <w:rPr>
          <w:bCs/>
          <w:i/>
        </w:rPr>
        <w:t xml:space="preserve">.</w:t>
      </w:r>
      <w:r>
        <w:rPr>
          <w:bCs/>
        </w:rPr>
        <w:t xml:space="preserve"> </w:t>
      </w:r>
      <w:r>
        <w:t xml:space="preserve">Одним из</w:t>
      </w:r>
      <w:r>
        <w:t xml:space="preserve"> наиболее показательных результатов исследования является то, что подавляющая часть респондентов никогда не пробовали наркотики. На вопрос: «Предлагали ли Вам попробовать наркотики?» 67,6% ответили отрицательно, а среди тех, кому предлагали, лишь очень неб</w:t>
      </w:r>
      <w:r>
        <w:t xml:space="preserve">ольшая доля пошла на такой сомнительный эксперимент. Фактически 97,0% никогда не употребляли наркотики; среди тех немногих, кто пробовал, подавляющее большинство сделали это один или несколько раз, но впоследствии отказались; регулярное употребление отмеча</w:t>
      </w:r>
      <w:r>
        <w:t xml:space="preserve">ется крайне редко. Это позволяет сделать важный вывод: в Югре нет заметной массовой практики потребления наркотиков, а население демонстрирует высокую личную ответственность, сопротивляемость негативным влияниям и зрелое отношение к собственному здоровью. </w:t>
      </w:r>
    </w:p>
    <w:p>
      <w:pPr>
        <w:spacing w:line="276" w:lineRule="auto"/>
        <w:ind w:firstLine="709"/>
      </w:pPr>
      <w:r>
        <w:t xml:space="preserve">Круг общения респондентов подтверждает </w:t>
      </w:r>
      <w:r>
        <w:t xml:space="preserve">этот вывод: 75,7% не имеют среди своих знакомых тех, кто употребляет наркотики. Ещё 17,6% знают лишь единичные случаи. Данный факт указывает на низкий уровень социального заражения и отсутствие регулярного эмоционального контакта с потребительской средой. </w:t>
      </w:r>
    </w:p>
    <w:p>
      <w:pPr>
        <w:spacing w:line="276" w:lineRule="auto"/>
        <w:ind w:firstLine="709"/>
      </w:pPr>
      <w:r>
        <w:t xml:space="preserve">Использование интернета для поиска сведений о наркотиках также практически отсутствует: 84,5% никогда не интересовались такими материалами в Мировой Сети.</w:t>
      </w:r>
    </w:p>
    <w:p>
      <w:pPr>
        <w:spacing w:line="276" w:lineRule="auto"/>
        <w:ind w:firstLine="709"/>
      </w:pPr>
      <w:r>
        <w:rPr>
          <w:bCs/>
          <w:i/>
        </w:rPr>
        <w:t xml:space="preserve">Причины отказа и факторы, удерживающие от употребления.</w:t>
      </w:r>
      <w:r>
        <w:rPr>
          <w:bCs/>
        </w:rPr>
        <w:t xml:space="preserve"> </w:t>
      </w:r>
      <w:r>
        <w:t xml:space="preserve">Анализ факторов, препятствующих употреблению наркотиков, демонстрирует высокий уровня личностной зрелости и моральной ответственности жителей автономного округа. Наиболее значимые мотивы: отрицательное отношение к наркотикам (указали 63,4% респондентов), </w:t>
      </w:r>
      <w:r>
        <w:rPr>
          <w:rFonts w:eastAsiaTheme="minorEastAsia"/>
          <w:color w:val="000000"/>
        </w:rPr>
        <w:t xml:space="preserve">ранняя смерть</w:t>
      </w:r>
      <w:r>
        <w:t xml:space="preserve"> (</w:t>
      </w:r>
      <w:r>
        <w:rPr>
          <w:rFonts w:eastAsiaTheme="minorEastAsia"/>
          <w:color w:val="000000"/>
        </w:rPr>
        <w:t xml:space="preserve">28,4%), полное формирование зависимости </w:t>
      </w:r>
      <w:r>
        <w:t xml:space="preserve">(</w:t>
      </w:r>
      <w:r>
        <w:rPr>
          <w:rFonts w:eastAsiaTheme="minorEastAsia"/>
          <w:color w:val="000000"/>
        </w:rPr>
        <w:t xml:space="preserve">24,9%), боязнь отлучения от семьи </w:t>
      </w:r>
      <w:r>
        <w:t xml:space="preserve">и </w:t>
      </w:r>
      <w:r>
        <w:rPr>
          <w:rFonts w:eastAsiaTheme="minorEastAsia"/>
          <w:color w:val="000000"/>
        </w:rPr>
        <w:t xml:space="preserve">потеря уважения родственников (24,7% и 24,0% соответственно), риск заражения ВИЧ и вирусными гепатитами B и C </w:t>
      </w:r>
      <w:r>
        <w:t xml:space="preserve">(</w:t>
      </w:r>
      <w:r>
        <w:rPr>
          <w:rFonts w:eastAsiaTheme="minorEastAsia"/>
          <w:color w:val="000000"/>
        </w:rPr>
        <w:t xml:space="preserve">23,9%), страх оказаться ненужным обществу </w:t>
      </w:r>
      <w:r>
        <w:t xml:space="preserve">(</w:t>
      </w:r>
      <w:r>
        <w:rPr>
          <w:rFonts w:eastAsiaTheme="minorEastAsia"/>
          <w:color w:val="000000"/>
        </w:rPr>
        <w:t xml:space="preserve">19,7%). </w:t>
      </w:r>
      <w:r>
        <w:t xml:space="preserve">Этот набор факторов отражает здоровые ценностные </w:t>
      </w:r>
      <w:r>
        <w:t xml:space="preserve">установки, надежные социальные связи, эмоциональную устойчивость и иерархию приоритетов. </w:t>
      </w:r>
    </w:p>
    <w:p>
      <w:pPr>
        <w:spacing w:line="276" w:lineRule="auto"/>
        <w:ind w:firstLine="709"/>
      </w:pPr>
      <w:r>
        <w:t xml:space="preserve">Даже среди те</w:t>
      </w:r>
      <w:r>
        <w:t xml:space="preserve">х, кто когда-либо пробовал наркотики, основной причиной становится случайное влияние окружения – «за компанию», «по глупости». Осознанный выбор фактически отсутствует, что позволяет утверждать: у населения нет внутреннего социального запроса на наркотики. </w:t>
      </w:r>
    </w:p>
    <w:p>
      <w:pPr>
        <w:spacing w:line="276" w:lineRule="auto"/>
        <w:ind w:firstLine="709"/>
      </w:pPr>
      <w:r>
        <w:rPr>
          <w:bCs/>
          <w:i/>
        </w:rPr>
        <w:t xml:space="preserve">Восприятие доступности наркотиков и динамика изменений.</w:t>
      </w:r>
      <w:r>
        <w:rPr>
          <w:bCs/>
        </w:rPr>
        <w:t xml:space="preserve"> </w:t>
      </w:r>
      <w:r>
        <w:t xml:space="preserve">Большинство опрошенных затрудняются оценить доступность наркотиков – это косвенно указывает на то, что они вообще не</w:t>
      </w:r>
      <w:r>
        <w:t xml:space="preserve"> сталкиваются с подобной средой. Среди тех, кто может дать оценку, со временем наблюдается тенденция к тому, что «доступно» или «очень доступно» отмечают всё реже (в 2025 г. – 34,1%, в 2024 г. – 50,3%, в 2023 г. – 55,5%). В динамике 2023-2025 годов прослеж</w:t>
      </w:r>
      <w:r>
        <w:t xml:space="preserve">ивается рост убеждённости в труднодоступности наркотиков (в 2025 г. – 17,9%, в 2024 г. – 8,4%, в 2023 г. – 7,0%). Фактически это подтверждает, что профилактическая и правоохранительная работа в регионе воспринимается населением как достаточно эффективная. </w:t>
      </w:r>
    </w:p>
    <w:p>
      <w:pPr>
        <w:spacing w:line="276" w:lineRule="auto"/>
        <w:ind w:firstLine="709"/>
      </w:pPr>
      <w:r>
        <w:rPr>
          <w:bCs/>
          <w:i/>
        </w:rPr>
        <w:t xml:space="preserve">Каналы приобретения и социальная изоляция потребительской среды.</w:t>
      </w:r>
      <w:r>
        <w:rPr>
          <w:bCs/>
        </w:rPr>
        <w:t xml:space="preserve"> </w:t>
      </w:r>
      <w:r>
        <w:t xml:space="preserve">Даже среди тех немногих, кто употреблял наркотики, значительная ч</w:t>
      </w:r>
      <w:r>
        <w:t xml:space="preserve">асть заявляет, что сейчас не употребляет вовсе, а большинство способов приобретения носили эпизодический и нерегулярный характер. Часто респонденты затрудняются назвать конкретный канал, что также связано с редкостью опыта и неустойчивостью таких практик. </w:t>
      </w:r>
    </w:p>
    <w:p>
      <w:pPr>
        <w:spacing w:line="276" w:lineRule="auto"/>
        <w:ind w:firstLine="709"/>
      </w:pPr>
      <w:r>
        <w:t xml:space="preserve">Наиболее частыми местами первой пробы становятся двор, улица, компания друзей, клубы и дискотеки, что соответствует общероссийским тенденциям и не указывает на какую-либо локальную особенность Югры. </w:t>
      </w:r>
    </w:p>
    <w:p>
      <w:pPr>
        <w:spacing w:line="276" w:lineRule="auto"/>
        <w:ind w:firstLine="709"/>
      </w:pPr>
      <w:r>
        <w:t xml:space="preserve">При этом доля попыток употребления по собственной инициативе минимальна – менее 6% от числа </w:t>
      </w:r>
      <w:r>
        <w:t xml:space="preserve">когда либо</w:t>
      </w:r>
      <w:r>
        <w:t xml:space="preserve"> пробовавших наркотики. То есть внутренней мотивации к употреблению у населения практически нет. </w:t>
      </w:r>
    </w:p>
    <w:p>
      <w:pPr>
        <w:spacing w:line="276" w:lineRule="auto"/>
        <w:ind w:firstLine="709"/>
      </w:pPr>
      <w:r>
        <w:rPr>
          <w:bCs/>
          <w:i/>
        </w:rPr>
        <w:t xml:space="preserve">Готовность населения к профилактической деятельности и доверие государственным структурам.</w:t>
      </w:r>
      <w:r>
        <w:rPr>
          <w:bCs/>
        </w:rPr>
        <w:t xml:space="preserve"> </w:t>
      </w:r>
      <w:r>
        <w:t xml:space="preserve">Респонденты демонстрируют высокий уровень ответственности в отношении профилактики наркомании. Среди ТОП-5 мер, которые они считают наиболее эффективными, жители выделяют р</w:t>
      </w:r>
      <w:r>
        <w:rPr>
          <w:bCs/>
        </w:rPr>
        <w:t xml:space="preserve">асширение работы с молодёжью </w:t>
      </w:r>
      <w:r>
        <w:t xml:space="preserve">(указали </w:t>
      </w:r>
      <w:r>
        <w:rPr>
          <w:bCs/>
        </w:rPr>
        <w:t xml:space="preserve">45,5% опрошенных); лекции и беседы в учебных заведениях </w:t>
      </w:r>
      <w:r>
        <w:t xml:space="preserve">(</w:t>
      </w:r>
      <w:r>
        <w:rPr>
          <w:bCs/>
        </w:rPr>
        <w:t xml:space="preserve">41,5%); </w:t>
      </w:r>
      <w:r>
        <w:t xml:space="preserve">ф</w:t>
      </w:r>
      <w:r>
        <w:rPr>
          <w:bCs/>
        </w:rPr>
        <w:t xml:space="preserve">изкультурные и спортивные мероприятия </w:t>
      </w:r>
      <w:r>
        <w:t xml:space="preserve">(</w:t>
      </w:r>
      <w:r>
        <w:rPr>
          <w:bCs/>
        </w:rPr>
        <w:t xml:space="preserve">39,1%); </w:t>
      </w:r>
      <w:r>
        <w:t xml:space="preserve">в</w:t>
      </w:r>
      <w:r>
        <w:rPr>
          <w:bCs/>
        </w:rPr>
        <w:t xml:space="preserve">ыступления бывших наркоманов </w:t>
      </w:r>
      <w:r>
        <w:t xml:space="preserve">(</w:t>
      </w:r>
      <w:r>
        <w:rPr>
          <w:bCs/>
        </w:rPr>
        <w:t xml:space="preserve">37,2%); ужесточение наказаний за </w:t>
      </w:r>
      <w:r>
        <w:rPr>
          <w:bCs/>
        </w:rPr>
        <w:t xml:space="preserve">наркопреступления</w:t>
      </w:r>
      <w:r>
        <w:rPr>
          <w:bCs/>
        </w:rPr>
        <w:t xml:space="preserve"> </w:t>
      </w:r>
      <w:r>
        <w:t xml:space="preserve">(</w:t>
      </w:r>
      <w:r>
        <w:rPr>
          <w:bCs/>
        </w:rPr>
        <w:t xml:space="preserve">36,1%). Рейтинг всех предложенных мер свидетельствует </w:t>
      </w:r>
      <w:r>
        <w:t xml:space="preserve">о выраженной поддержке комплексного подхода, где профилактика строится как на информировании, так и на создании условий </w:t>
      </w:r>
      <w:r>
        <w:t xml:space="preserve">для здорового образа жизни и социального развития. Кроме того, респонденты активно поддер</w:t>
      </w:r>
      <w:r>
        <w:t xml:space="preserve">живают идеи улучшения информационного обеспечения, расширения работы в интернет-среде, привлечения специалистов, развития цифровых сервисов. Это показывает, что население рассматривает профилактику как многокомпонентную систему и готово участвовать в ней. </w:t>
      </w:r>
    </w:p>
    <w:p>
      <w:pPr>
        <w:spacing w:line="276" w:lineRule="auto"/>
        <w:ind w:firstLine="709"/>
      </w:pPr>
      <w:r>
        <w:t xml:space="preserve">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w:t>
      </w:r>
      <w:r>
        <w:t xml:space="preserve">профилактирование</w:t>
      </w:r>
      <w:r>
        <w:t xml:space="preserve"> и дополнительное информирование населения о мерах наказания за употребление, хранение и сбыт наркотических средств. </w:t>
      </w:r>
    </w:p>
    <w:p>
      <w:pPr>
        <w:spacing w:line="276" w:lineRule="auto"/>
        <w:ind w:firstLine="709"/>
      </w:pPr>
      <w:r>
        <w:t xml:space="preserve">По результатам социологического опроса в 2025 году осуществлен расчет показателя «Оценочная распространенность употребления наркотиков»</w:t>
      </w:r>
      <w:bookmarkEnd w:id="1"/>
      <w:r>
        <w:t xml:space="preserve"> (см. табл. 3). Расчет произведен по формуле: </w:t>
      </w:r>
    </w:p>
    <w:p>
      <w:pPr>
        <w:spacing w:line="276" w:lineRule="auto"/>
        <w:ind w:firstLine="709"/>
        <w:rPr>
          <w:sz w:val="20"/>
          <w:szCs w:val="20"/>
        </w:rPr>
      </w:pPr>
      <w:r>
        <w:rPr>
          <w:sz w:val="20"/>
          <w:szCs w:val="20"/>
        </w:rPr>
      </w:r>
      <w:r>
        <w:rPr>
          <w:sz w:val="20"/>
          <w:szCs w:val="20"/>
        </w:rPr>
      </w:r>
    </w:p>
    <w:p>
      <w:pPr>
        <w:spacing w:line="276" w:lineRule="auto"/>
        <w:ind w:firstLine="0"/>
        <w:jc w:val="center"/>
        <w:rPr>
          <w:sz w:val="2"/>
          <w:szCs w:val="2"/>
        </w:rPr>
      </w:pPr>
      <w:r>
        <w:rPr>
          <w:sz w:val="2"/>
          <w:szCs w:val="2"/>
        </w:rPr>
      </w:r>
      <w:r>
        <w:rPr>
          <w:sz w:val="2"/>
          <w:szCs w:val="2"/>
        </w:rPr>
      </w:r>
    </w:p>
    <w:p>
      <w:pPr>
        <w:spacing w:line="276" w:lineRule="auto"/>
        <w:ind w:firstLine="0"/>
        <w:jc w:val="center"/>
      </w:pPr>
      <w:r>
        <w:rPr>
          <w:lang w:val="en-US"/>
        </w:rPr>
        <w:t xml:space="preserve">M</w:t>
      </w:r>
      <w:r>
        <w:t xml:space="preserve"> = </w:t>
      </w:r>
      <w:r>
        <w:rPr>
          <w:lang w:val="en-US"/>
        </w:rPr>
        <w:t xml:space="preserve">Snp</w:t>
      </w:r>
      <w:r>
        <w:t xml:space="preserve"> *100/</w:t>
      </w:r>
      <w:r>
        <w:rPr>
          <w:lang w:val="en-US"/>
        </w:rPr>
        <w:t xml:space="preserve">So</w:t>
      </w:r>
    </w:p>
    <w:p>
      <w:pPr>
        <w:spacing w:line="276" w:lineRule="auto"/>
        <w:ind w:firstLine="0"/>
        <w:rPr>
          <w:sz w:val="20"/>
          <w:szCs w:val="20"/>
        </w:rPr>
      </w:pPr>
      <w:r>
        <w:rPr>
          <w:sz w:val="20"/>
          <w:szCs w:val="20"/>
        </w:rPr>
        <w:t xml:space="preserve">где </w:t>
      </w:r>
      <w:r>
        <w:rPr>
          <w:sz w:val="20"/>
          <w:szCs w:val="20"/>
        </w:rPr>
      </w:r>
    </w:p>
    <w:p>
      <w:pPr>
        <w:spacing w:line="276" w:lineRule="auto"/>
        <w:ind w:firstLine="708"/>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rPr>
          <w:sz w:val="20"/>
          <w:szCs w:val="20"/>
        </w:rPr>
      </w:r>
    </w:p>
    <w:p>
      <w:pPr>
        <w:spacing w:line="276" w:lineRule="auto"/>
        <w:ind w:firstLine="708"/>
        <w:rPr>
          <w:sz w:val="20"/>
          <w:szCs w:val="20"/>
        </w:rPr>
      </w:pPr>
      <w:r>
        <w:rPr>
          <w:sz w:val="20"/>
          <w:szCs w:val="20"/>
          <w:lang w:val="en-US"/>
        </w:rPr>
        <w:t xml:space="preserve">M</w:t>
      </w:r>
      <w:r>
        <w:rPr>
          <w:sz w:val="20"/>
          <w:szCs w:val="20"/>
        </w:rPr>
        <w:t xml:space="preserve"> – оценочная распространённость употребления наркотиков (по данным социологических исследований); </w:t>
      </w:r>
      <w:r>
        <w:rPr>
          <w:sz w:val="20"/>
          <w:szCs w:val="20"/>
        </w:rPr>
      </w:r>
    </w:p>
    <w:p>
      <w:pPr>
        <w:spacing w:line="276" w:lineRule="auto"/>
        <w:ind w:firstLine="708"/>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rPr>
          <w:sz w:val="20"/>
          <w:szCs w:val="20"/>
        </w:rPr>
      </w:r>
    </w:p>
    <w:p>
      <w:pPr>
        <w:spacing w:line="276" w:lineRule="auto"/>
        <w:ind w:firstLine="708"/>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w:t>
      </w:r>
      <w:r>
        <w:rPr>
          <w:sz w:val="20"/>
          <w:szCs w:val="20"/>
        </w:rPr>
        <w:t xml:space="preserve">наркотики?»</w:t>
      </w:r>
      <w:r>
        <w:rPr>
          <w:sz w:val="20"/>
          <w:szCs w:val="20"/>
        </w:rPr>
        <w:t xml:space="preserve">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p>
    <w:p>
      <w:pPr>
        <w:widowControl w:val="off"/>
        <w:spacing w:line="276" w:lineRule="auto"/>
        <w:ind w:firstLine="708"/>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случая к случаю, не каждый </w:t>
      </w:r>
      <w:r>
        <w:rPr>
          <w:rFonts w:eastAsia="Lucida Sans Unicode"/>
          <w:color w:val="000000"/>
          <w:sz w:val="20"/>
          <w:szCs w:val="20"/>
          <w:lang w:eastAsia="ar-SA"/>
        </w:rPr>
        <w:t xml:space="preserve">месяц)»</w:t>
      </w:r>
      <w:r>
        <w:rPr>
          <w:rFonts w:eastAsia="Lucida Sans Unicode"/>
          <w:color w:val="000000"/>
          <w:sz w:val="20"/>
          <w:szCs w:val="20"/>
          <w:lang w:eastAsia="ar-SA"/>
        </w:rPr>
        <w:t xml:space="preserve">; </w:t>
      </w:r>
      <w:r>
        <w:rPr>
          <w:rFonts w:eastAsia="Lucida Sans Unicode"/>
          <w:color w:val="000000"/>
          <w:sz w:val="20"/>
          <w:szCs w:val="20"/>
          <w:lang w:eastAsia="ar-SA"/>
        </w:rPr>
      </w:r>
    </w:p>
    <w:p>
      <w:pPr>
        <w:widowControl w:val="off"/>
        <w:spacing w:line="276" w:lineRule="auto"/>
        <w:ind w:firstLine="708"/>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w:t>
      </w:r>
      <w:r>
        <w:rPr>
          <w:rFonts w:eastAsia="Lucida Sans Unicode"/>
          <w:color w:val="000000"/>
          <w:sz w:val="20"/>
          <w:szCs w:val="20"/>
          <w:lang w:eastAsia="ar-SA"/>
        </w:rPr>
        <w:t xml:space="preserve">чаще)»</w:t>
      </w:r>
      <w:r>
        <w:rPr>
          <w:rFonts w:eastAsia="Lucida Sans Unicode"/>
          <w:color w:val="000000"/>
          <w:sz w:val="20"/>
          <w:szCs w:val="20"/>
          <w:lang w:eastAsia="ar-SA"/>
        </w:rPr>
        <w:t xml:space="preserve">;</w:t>
      </w:r>
      <w:r>
        <w:rPr>
          <w:rFonts w:eastAsia="Lucida Sans Unicode"/>
          <w:color w:val="000000"/>
          <w:sz w:val="20"/>
          <w:szCs w:val="20"/>
          <w:lang w:eastAsia="ar-SA"/>
        </w:rPr>
      </w:r>
    </w:p>
    <w:p>
      <w:pPr>
        <w:widowControl w:val="off"/>
        <w:spacing w:line="276" w:lineRule="auto"/>
        <w:ind w:firstLine="708"/>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w:t>
      </w:r>
      <w:r>
        <w:rPr>
          <w:rFonts w:eastAsia="Lucida Sans Unicode"/>
          <w:color w:val="000000"/>
          <w:sz w:val="20"/>
          <w:szCs w:val="20"/>
          <w:lang w:eastAsia="ar-SA"/>
        </w:rPr>
        <w:t xml:space="preserve">неделю)»</w:t>
      </w:r>
      <w:r>
        <w:rPr>
          <w:rFonts w:eastAsia="Lucida Sans Unicode"/>
          <w:color w:val="000000"/>
          <w:sz w:val="20"/>
          <w:szCs w:val="20"/>
          <w:lang w:eastAsia="ar-SA"/>
        </w:rPr>
        <w:t xml:space="preserve">;</w:t>
      </w:r>
      <w:r>
        <w:rPr>
          <w:rFonts w:eastAsia="Lucida Sans Unicode"/>
          <w:color w:val="000000"/>
          <w:sz w:val="20"/>
          <w:szCs w:val="20"/>
          <w:lang w:eastAsia="ar-SA"/>
        </w:rPr>
      </w:r>
    </w:p>
    <w:p>
      <w:pPr>
        <w:spacing w:line="276" w:lineRule="auto"/>
        <w:ind w:firstLine="708"/>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rPr>
          <w:rFonts w:eastAsia="Lucida Sans Unicode"/>
          <w:color w:val="000000"/>
          <w:sz w:val="20"/>
          <w:szCs w:val="20"/>
          <w:lang w:eastAsia="ar-SA"/>
        </w:rPr>
      </w:r>
    </w:p>
    <w:p>
      <w:pPr>
        <w:spacing w:line="269" w:lineRule="auto"/>
        <w:ind w:firstLine="0"/>
        <w:jc w:val="right"/>
      </w:pPr>
    </w:p>
    <w:p>
      <w:pPr>
        <w:spacing w:line="269" w:lineRule="auto"/>
        <w:ind w:firstLine="0"/>
        <w:jc w:val="right"/>
      </w:pPr>
    </w:p>
    <w:p>
      <w:pPr>
        <w:spacing w:line="269" w:lineRule="auto"/>
        <w:ind w:firstLine="0"/>
        <w:jc w:val="right"/>
      </w:pPr>
      <w:r>
        <w:t xml:space="preserve">Таблица 3</w:t>
      </w:r>
    </w:p>
    <w:p>
      <w:pPr>
        <w:spacing w:line="240" w:lineRule="auto"/>
        <w:ind w:firstLine="0"/>
        <w:jc w:val="center"/>
        <w:rPr>
          <w:b/>
        </w:rPr>
      </w:pPr>
      <w:r>
        <w:rPr>
          <w:b/>
        </w:rPr>
        <w:t xml:space="preserve">Данные для расчета показателя «Оценочная распространённость употребления наркотиков», абсолютные числа</w:t>
      </w:r>
      <w:r>
        <w:rPr>
          <w:b/>
        </w:rPr>
      </w:r>
    </w:p>
    <w:tbl>
      <w:tblPr>
        <w:tblW w:w="9371" w:type="dxa"/>
        <w:tblInd w:w="93" w:type="dxa"/>
        <w:tblLook w:val="04A0" w:firstRow="1" w:lastRow="0" w:firstColumn="1" w:lastColumn="0" w:noHBand="0" w:noVBand="1"/>
      </w:tblPr>
      <w:tblGrid>
        <w:gridCol w:w="4942"/>
        <w:gridCol w:w="1452"/>
        <w:gridCol w:w="1559"/>
        <w:gridCol w:w="1418"/>
      </w:tblGrid>
      <w:tr>
        <w:trPr>
          <w:trHeight w:val="283"/>
        </w:trPr>
        <w:tc>
          <w:tcPr>
            <w:tcW w:w="4942" w:type="dxa"/>
            <w:vMerge w:val="restart"/>
            <w:tcBorders>
              <w:top w:val="single" w:color="auto" w:sz="4" w:space="0"/>
              <w:left w:val="single" w:color="auto" w:sz="4" w:space="0"/>
              <w:bottom w:val="single" w:color="auto" w:sz="4" w:space="0"/>
              <w:right w:val="single" w:color="auto" w:sz="4" w:space="0"/>
            </w:tcBorders>
            <w:noWrap/>
            <w:textDirection w:val="lrTb"/>
            <w:vAlign w:val="center"/>
          </w:tcPr>
          <w:p>
            <w:pPr>
              <w:spacing w:line="240" w:lineRule="auto"/>
              <w:ind w:firstLine="0"/>
              <w:jc w:val="center"/>
              <w:rPr>
                <w:color w:val="000000"/>
                <w:sz w:val="24"/>
                <w:szCs w:val="24"/>
              </w:rPr>
            </w:pPr>
            <w:r>
              <w:rPr>
                <w:color w:val="000000"/>
                <w:sz w:val="24"/>
                <w:szCs w:val="24"/>
              </w:rPr>
              <w:t xml:space="preserve">Периоды проведения исследования</w:t>
            </w:r>
            <w:r>
              <w:rPr>
                <w:color w:val="000000"/>
                <w:sz w:val="24"/>
                <w:szCs w:val="24"/>
              </w:rPr>
            </w:r>
          </w:p>
        </w:tc>
        <w:tc>
          <w:tcPr>
            <w:tcW w:w="1452"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lang w:val="en-US"/>
              </w:rPr>
              <w:t xml:space="preserve">2025 </w:t>
            </w:r>
            <w:r>
              <w:rPr>
                <w:b/>
                <w:bCs/>
                <w:color w:val="000000"/>
                <w:sz w:val="24"/>
                <w:szCs w:val="24"/>
                <w:lang w:val="en-US"/>
              </w:rPr>
              <w:t xml:space="preserve">год</w:t>
            </w:r>
            <w:r>
              <w:rPr>
                <w:b/>
                <w:bCs/>
                <w:color w:val="000000"/>
                <w:sz w:val="24"/>
                <w:szCs w:val="24"/>
              </w:rPr>
            </w:r>
          </w:p>
        </w:tc>
        <w:tc>
          <w:tcPr>
            <w:tcW w:w="1559"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lang w:val="en-US"/>
              </w:rPr>
              <w:t xml:space="preserve">2024 </w:t>
            </w:r>
            <w:r>
              <w:rPr>
                <w:b/>
                <w:bCs/>
                <w:color w:val="000000"/>
                <w:sz w:val="24"/>
                <w:szCs w:val="24"/>
                <w:lang w:val="en-US"/>
              </w:rPr>
              <w:t xml:space="preserve">год</w:t>
            </w:r>
            <w:r>
              <w:rPr>
                <w:b/>
                <w:bCs/>
                <w:color w:val="000000"/>
                <w:sz w:val="24"/>
                <w:szCs w:val="24"/>
              </w:rPr>
            </w:r>
          </w:p>
        </w:tc>
        <w:tc>
          <w:tcPr>
            <w:tcW w:w="1418"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lang w:val="en-US"/>
              </w:rPr>
              <w:t xml:space="preserve">2023 </w:t>
            </w:r>
            <w:r>
              <w:rPr>
                <w:b/>
                <w:bCs/>
                <w:color w:val="000000"/>
                <w:sz w:val="24"/>
                <w:szCs w:val="24"/>
                <w:lang w:val="en-US"/>
              </w:rPr>
              <w:t xml:space="preserve">год</w:t>
            </w:r>
            <w:r>
              <w:rPr>
                <w:b/>
                <w:bCs/>
                <w:color w:val="000000"/>
                <w:sz w:val="24"/>
                <w:szCs w:val="24"/>
              </w:rPr>
            </w:r>
          </w:p>
        </w:tc>
      </w:tr>
      <w:tr>
        <w:trPr>
          <w:trHeight w:val="283"/>
        </w:trPr>
        <w:tc>
          <w:tcPr>
            <w:tcW w:w="4942" w:type="dxa"/>
            <w:vMerge w:val="continue"/>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4"/>
                <w:szCs w:val="24"/>
              </w:rPr>
            </w:pPr>
            <w:r>
              <w:rPr>
                <w:color w:val="000000"/>
                <w:sz w:val="24"/>
                <w:szCs w:val="24"/>
              </w:rPr>
            </w:r>
            <w:r>
              <w:rPr>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i/>
                <w:iCs/>
                <w:color w:val="000000"/>
                <w:sz w:val="24"/>
                <w:szCs w:val="24"/>
              </w:rPr>
            </w:pPr>
            <w:r>
              <w:rPr>
                <w:i/>
                <w:iCs/>
                <w:color w:val="000000"/>
                <w:sz w:val="24"/>
                <w:szCs w:val="24"/>
                <w:lang w:val="en-US"/>
              </w:rPr>
              <w:t xml:space="preserve">So</w:t>
            </w:r>
            <w:r>
              <w:rPr>
                <w:color w:val="000000"/>
                <w:sz w:val="24"/>
                <w:szCs w:val="24"/>
                <w:lang w:val="en-US"/>
              </w:rPr>
              <w:t xml:space="preserve"> = 1700</w:t>
            </w:r>
            <w:r>
              <w:rPr>
                <w:i/>
                <w:iCs/>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i/>
                <w:iCs/>
                <w:color w:val="000000"/>
                <w:sz w:val="24"/>
                <w:szCs w:val="24"/>
              </w:rPr>
            </w:pPr>
            <w:r>
              <w:rPr>
                <w:i/>
                <w:iCs/>
                <w:color w:val="000000"/>
                <w:sz w:val="24"/>
                <w:szCs w:val="24"/>
                <w:lang w:val="en-US"/>
              </w:rPr>
              <w:t xml:space="preserve">So</w:t>
            </w:r>
            <w:r>
              <w:rPr>
                <w:color w:val="000000"/>
                <w:sz w:val="24"/>
                <w:szCs w:val="24"/>
                <w:lang w:val="en-US"/>
              </w:rPr>
              <w:t xml:space="preserve"> = 1700</w:t>
            </w:r>
            <w:r>
              <w:rPr>
                <w:i/>
                <w:iCs/>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i/>
                <w:iCs/>
                <w:color w:val="000000"/>
                <w:sz w:val="24"/>
                <w:szCs w:val="24"/>
              </w:rPr>
            </w:pPr>
            <w:r>
              <w:rPr>
                <w:i/>
                <w:iCs/>
                <w:color w:val="000000"/>
                <w:sz w:val="24"/>
                <w:szCs w:val="24"/>
                <w:lang w:val="en-US"/>
              </w:rPr>
              <w:t xml:space="preserve">So</w:t>
            </w:r>
            <w:r>
              <w:rPr>
                <w:color w:val="000000"/>
                <w:sz w:val="24"/>
                <w:szCs w:val="24"/>
                <w:lang w:val="en-US"/>
              </w:rPr>
              <w:t xml:space="preserve"> = 1712</w:t>
            </w:r>
            <w:r>
              <w:rPr>
                <w:i/>
                <w:iCs/>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i/>
                <w:iCs/>
                <w:color w:val="000000"/>
                <w:sz w:val="24"/>
                <w:szCs w:val="24"/>
              </w:rPr>
            </w:pPr>
            <w:r>
              <w:rPr>
                <w:i/>
                <w:iCs/>
                <w:color w:val="000000"/>
                <w:sz w:val="24"/>
                <w:szCs w:val="24"/>
              </w:rPr>
              <w:t xml:space="preserve">О1 «Употребляю редко (от случая к случаю, не каждый месяц)»</w:t>
            </w:r>
            <w:r>
              <w:rPr>
                <w:i/>
                <w:iCs/>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 чел.</w:t>
            </w:r>
            <w:r>
              <w:rPr>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 чел.</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 чел.</w:t>
            </w:r>
            <w:r>
              <w:rPr>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i/>
                <w:iCs/>
                <w:color w:val="000000"/>
                <w:sz w:val="24"/>
                <w:szCs w:val="24"/>
              </w:rPr>
            </w:pPr>
            <w:r>
              <w:rPr>
                <w:i/>
                <w:iCs/>
                <w:color w:val="000000"/>
                <w:sz w:val="24"/>
                <w:szCs w:val="24"/>
              </w:rPr>
              <w:t xml:space="preserve">О2 «Употребляю регулярно (раз в месяц и чаще)»</w:t>
            </w:r>
            <w:r>
              <w:rPr>
                <w:i/>
                <w:iCs/>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 чел.</w:t>
            </w:r>
            <w:r>
              <w:rPr>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5 чел.</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8 чел.</w:t>
            </w:r>
            <w:r>
              <w:rPr>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i/>
                <w:iCs/>
                <w:color w:val="000000"/>
                <w:sz w:val="24"/>
                <w:szCs w:val="24"/>
              </w:rPr>
            </w:pPr>
            <w:r>
              <w:rPr>
                <w:i/>
                <w:iCs/>
                <w:color w:val="000000"/>
                <w:sz w:val="24"/>
                <w:szCs w:val="24"/>
              </w:rPr>
              <w:t xml:space="preserve">О3 «Употребляю постоянно (несколько раз в неделю)»</w:t>
            </w:r>
            <w:r>
              <w:rPr>
                <w:i/>
                <w:iCs/>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 чел.</w:t>
            </w:r>
            <w:r>
              <w:rPr>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 чел.</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 чел.</w:t>
            </w:r>
            <w:r>
              <w:rPr>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i/>
                <w:iCs/>
                <w:color w:val="000000"/>
                <w:sz w:val="24"/>
                <w:szCs w:val="24"/>
              </w:rPr>
            </w:pPr>
            <w:r>
              <w:rPr>
                <w:i/>
                <w:iCs/>
                <w:color w:val="000000"/>
                <w:sz w:val="24"/>
                <w:szCs w:val="24"/>
              </w:rPr>
              <w:t xml:space="preserve">О4 «Употребляю ежедневно»</w:t>
            </w:r>
            <w:r>
              <w:rPr>
                <w:i/>
                <w:iCs/>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 чел.</w:t>
            </w:r>
            <w:r>
              <w:rPr>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0 чел.</w:t>
            </w:r>
            <w:r>
              <w:rPr>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3 чел.</w:t>
            </w:r>
            <w:r>
              <w:rPr>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textDirection w:val="lrTb"/>
            <w:vAlign w:val="center"/>
          </w:tcPr>
          <w:p>
            <w:pPr>
              <w:spacing w:line="240" w:lineRule="auto"/>
              <w:ind w:firstLine="0"/>
              <w:jc w:val="left"/>
              <w:rPr>
                <w:b/>
                <w:bCs/>
                <w:color w:val="000000"/>
                <w:sz w:val="24"/>
                <w:szCs w:val="24"/>
              </w:rPr>
            </w:pPr>
            <w:r>
              <w:rPr>
                <w:b/>
                <w:bCs/>
                <w:color w:val="000000"/>
                <w:sz w:val="24"/>
                <w:szCs w:val="24"/>
              </w:rPr>
              <w:t xml:space="preserve">Показатель</w:t>
            </w:r>
            <w:r>
              <w:rPr>
                <w:b/>
                <w:bCs/>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0,1</w:t>
            </w:r>
            <w:r>
              <w:rPr>
                <w:b/>
                <w:bCs/>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0,9</w:t>
            </w:r>
            <w:r>
              <w:rPr>
                <w:b/>
                <w:bCs/>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1,34</w:t>
            </w:r>
            <w:r>
              <w:rPr>
                <w:b/>
                <w:bCs/>
                <w:color w:val="000000"/>
                <w:sz w:val="24"/>
                <w:szCs w:val="24"/>
              </w:rPr>
            </w:r>
          </w:p>
        </w:tc>
      </w:tr>
      <w:tr>
        <w:trPr>
          <w:trHeight w:val="283"/>
        </w:trPr>
        <w:tc>
          <w:tcPr>
            <w:tcW w:w="4942" w:type="dxa"/>
            <w:tcBorders>
              <w:top w:val="none" w:color="000000" w:sz="4" w:space="0"/>
              <w:left w:val="single" w:color="auto" w:sz="4" w:space="0"/>
              <w:bottom w:val="single" w:color="auto" w:sz="4" w:space="0"/>
              <w:right w:val="single" w:color="auto" w:sz="4" w:space="0"/>
            </w:tcBorders>
            <w:noWrap/>
            <w:textDirection w:val="lrTb"/>
            <w:vAlign w:val="center"/>
          </w:tcPr>
          <w:p>
            <w:pPr>
              <w:spacing w:line="240" w:lineRule="auto"/>
              <w:ind w:firstLine="0"/>
              <w:jc w:val="left"/>
              <w:rPr>
                <w:color w:val="000000"/>
                <w:sz w:val="24"/>
                <w:szCs w:val="24"/>
              </w:rPr>
            </w:pPr>
            <w:r>
              <w:rPr>
                <w:color w:val="000000"/>
                <w:sz w:val="24"/>
                <w:szCs w:val="24"/>
              </w:rPr>
              <w:t xml:space="preserve">Критерии состояния наркоситуации</w:t>
            </w:r>
            <w:r>
              <w:rPr>
                <w:color w:val="000000"/>
                <w:sz w:val="24"/>
                <w:szCs w:val="24"/>
              </w:rPr>
            </w:r>
          </w:p>
        </w:tc>
        <w:tc>
          <w:tcPr>
            <w:tcW w:w="145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Удовлетво-рительное</w:t>
            </w:r>
            <w:r>
              <w:rPr>
                <w:b/>
                <w:bCs/>
                <w:color w:val="000000"/>
                <w:sz w:val="24"/>
                <w:szCs w:val="24"/>
              </w:rPr>
            </w:r>
          </w:p>
        </w:tc>
        <w:tc>
          <w:tcPr>
            <w:tcW w:w="1559"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Напря-женное</w:t>
            </w:r>
            <w:r>
              <w:rPr>
                <w:b/>
                <w:bCs/>
                <w:color w:val="000000"/>
                <w:sz w:val="24"/>
                <w:szCs w:val="24"/>
              </w:rPr>
            </w:r>
          </w:p>
        </w:tc>
        <w:tc>
          <w:tcPr>
            <w:tcW w:w="14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Напря-женное</w:t>
            </w:r>
            <w:r>
              <w:rPr>
                <w:b/>
                <w:bCs/>
                <w:color w:val="000000"/>
                <w:sz w:val="24"/>
                <w:szCs w:val="24"/>
              </w:rPr>
            </w:r>
          </w:p>
        </w:tc>
      </w:tr>
    </w:tbl>
    <w:p>
      <w:pPr>
        <w:spacing w:line="240" w:lineRule="auto"/>
        <w:ind w:firstLine="709"/>
        <w:outlineLvl w:val="1"/>
        <w:rPr>
          <w:b/>
          <w:highlight w:val="yellow"/>
        </w:rPr>
        <w:sectPr>
          <w:footnotePr/>
          <w:endnotePr/>
          <w:type w:val="nextPage"/>
          <w:pgSz w:w="11906" w:h="16838" w:orient="portrait"/>
          <w:pgMar w:top="1134" w:right="851" w:bottom="1134" w:left="1701" w:header="709" w:footer="333" w:gutter="0"/>
          <w:cols w:num="1" w:sep="0" w:space="708" w:equalWidth="1"/>
          <w:docGrid w:linePitch="360"/>
        </w:sectPr>
      </w:pPr>
      <w:r>
        <w:rPr>
          <w:b/>
          <w:highlight w:val="yellow"/>
        </w:rPr>
      </w:r>
      <w:r>
        <w:rPr>
          <w:b/>
          <w:highlight w:val="yellow"/>
        </w:rPr>
      </w:r>
    </w:p>
    <w:p>
      <w:pPr>
        <w:spacing w:line="276" w:lineRule="auto"/>
        <w:ind w:firstLine="709"/>
        <w:outlineLvl w:val="1"/>
        <w:rPr>
          <w:b/>
        </w:rPr>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rPr>
          <w:b/>
        </w:rPr>
      </w:r>
    </w:p>
    <w:p>
      <w:pPr>
        <w:pStyle w:val="1624"/>
        <w:spacing w:after="0" w:line="276" w:lineRule="auto"/>
        <w:ind w:firstLine="709"/>
        <w:jc w:val="both"/>
        <w:rPr>
          <w:b/>
          <w:i/>
          <w:sz w:val="28"/>
          <w:szCs w:val="28"/>
        </w:rPr>
      </w:pPr>
      <w:r>
        <w:rPr>
          <w:b/>
          <w:i/>
          <w:sz w:val="28"/>
          <w:szCs w:val="28"/>
        </w:rPr>
      </w:r>
      <w:r>
        <w:rPr>
          <w:b/>
          <w:i/>
          <w:sz w:val="28"/>
          <w:szCs w:val="28"/>
        </w:rPr>
      </w:r>
    </w:p>
    <w:p>
      <w:pPr>
        <w:spacing w:line="276" w:lineRule="auto"/>
        <w:ind w:firstLine="709"/>
        <w:outlineLvl w:val="0"/>
        <w:rPr>
          <w:b/>
          <w:i/>
        </w:rPr>
      </w:pPr>
      <w:r>
        <w:rPr>
          <w:b/>
          <w:i/>
        </w:rPr>
        <w:t xml:space="preserve">Оценка состояния и доступности на территории автономного округа наркологической медицинской помощи</w:t>
      </w:r>
      <w:r>
        <w:rPr>
          <w:b/>
          <w:i/>
        </w:rPr>
      </w:r>
    </w:p>
    <w:p>
      <w:pPr>
        <w:spacing w:line="276" w:lineRule="auto"/>
        <w:ind w:firstLine="709"/>
      </w:pPr>
      <w:r>
        <w:rPr>
          <w:color w:val="000000"/>
        </w:rPr>
        <w:t xml:space="preserve">Наркологическая помощь населению Ханты-Мансийского автономного округа – Югры осуществляется в соответствии с требованиями приказа Минздрава России от 30.12.2015 № </w:t>
      </w:r>
      <w:r>
        <w:rPr>
          <w:color w:val="000000"/>
        </w:rPr>
        <w:t xml:space="preserve">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w:t>
      </w:r>
      <w:r>
        <w:rPr>
          <w:color w:val="000000"/>
        </w:rPr>
        <w:t xml:space="preserve">каза Департамента здравоохранения Ханты-Мансийского автономного округа –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p>
    <w:p>
      <w:pPr>
        <w:spacing w:line="276" w:lineRule="auto"/>
        <w:ind w:firstLine="709"/>
      </w:pPr>
      <w:r>
        <w:rPr>
          <w:color w:val="000000"/>
        </w:rPr>
        <w:t xml:space="preserve">На территории Югры создана и функционирует трехуровневая система оказания наркологической помощи населению, которая включает следующие уровни:</w:t>
      </w:r>
    </w:p>
    <w:p>
      <w:pPr>
        <w:spacing w:line="276" w:lineRule="auto"/>
        <w:ind w:firstLine="709"/>
        <w:rPr>
          <w:u w:val="single"/>
        </w:rPr>
      </w:pPr>
      <w:r>
        <w:rPr>
          <w:b/>
          <w:bCs/>
          <w:color w:val="000000"/>
          <w:u w:val="single"/>
        </w:rPr>
        <w:t xml:space="preserve">Муниципальный уровень (первый уровень)</w:t>
      </w:r>
      <w:r>
        <w:rPr>
          <w:u w:val="single"/>
        </w:rPr>
      </w:r>
    </w:p>
    <w:p>
      <w:pPr>
        <w:spacing w:line="276" w:lineRule="auto"/>
        <w:ind w:firstLine="709"/>
      </w:pPr>
      <w:r>
        <w:rPr>
          <w:color w:val="000000"/>
        </w:rPr>
        <w:t xml:space="preserve">На этом уровне наркологическая помощь оказывается в медицинских подразделениях многопрофильных больниц. Основные виды помощи включают:</w:t>
      </w:r>
    </w:p>
    <w:p>
      <w:pPr>
        <w:spacing w:line="276" w:lineRule="auto"/>
        <w:ind w:firstLine="709"/>
      </w:pPr>
      <w:r>
        <w:rPr>
          <w:color w:val="000000"/>
        </w:rPr>
        <w:t xml:space="preserve">- первичную врачебн</w:t>
      </w:r>
      <w:r>
        <w:rPr>
          <w:color w:val="000000"/>
        </w:rPr>
        <w:t xml:space="preserve">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p>
    <w:p>
      <w:pPr>
        <w:spacing w:line="276" w:lineRule="auto"/>
        <w:ind w:firstLine="709"/>
      </w:pPr>
      <w:r>
        <w:rPr>
          <w:color w:val="000000"/>
        </w:rPr>
        <w:t xml:space="preserve">- 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pPr>
        <w:spacing w:line="276" w:lineRule="auto"/>
        <w:ind w:firstLine="709"/>
      </w:pPr>
      <w:r>
        <w:rPr>
          <w:color w:val="000000"/>
        </w:rPr>
        <w:t xml:space="preserve">- 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p>
    <w:p>
      <w:pPr>
        <w:spacing w:line="276" w:lineRule="auto"/>
        <w:ind w:firstLine="709"/>
      </w:pPr>
      <w:r>
        <w:rPr>
          <w:color w:val="000000"/>
        </w:rPr>
        <w:t xml:space="preserve">- специализированную наркологическую стационарную помощь, оказываемую на наркологических койках многопрофильных медицинских организаций, которые расположены отдельно от специализированных психоневрологических медицинских организаций.</w:t>
      </w:r>
    </w:p>
    <w:p>
      <w:pPr>
        <w:spacing w:line="276" w:lineRule="auto"/>
        <w:ind w:firstLine="709"/>
      </w:pPr>
      <w:r>
        <w:rPr>
          <w:color w:val="000000"/>
        </w:rPr>
        <w:t xml:space="preserve">Для проведения медицинской </w:t>
      </w:r>
      <w:r>
        <w:rPr>
          <w:color w:val="000000"/>
        </w:rPr>
        <w:t xml:space="preserve">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w:t>
      </w:r>
      <w:r>
        <w:rPr>
          <w:color w:val="000000"/>
        </w:rPr>
        <w:t xml:space="preserve">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pPr>
        <w:spacing w:line="276" w:lineRule="auto"/>
        <w:ind w:firstLine="709"/>
      </w:pPr>
      <w:r>
        <w:rPr>
          <w:color w:val="000000"/>
        </w:rPr>
        <w:t xml:space="preserve">Стационарная наркологическая помощь в автономном округе</w:t>
      </w:r>
      <w:r>
        <w:rPr>
          <w:color w:val="000000"/>
        </w:rPr>
        <w:br/>
        <w:t xml:space="preserve"> в 2025 году оказывалась на 517-х койках, из них 414 коек – наркологические, 103 койки – реабилитационные, аналогично 2024 году. </w:t>
      </w:r>
    </w:p>
    <w:p>
      <w:pPr>
        <w:spacing w:line="276" w:lineRule="auto"/>
        <w:ind w:firstLine="709"/>
      </w:pPr>
      <w:r>
        <w:rPr>
          <w:color w:val="000000"/>
        </w:rP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r>
        <w:rPr>
          <w:color w:val="000000"/>
        </w:rPr>
        <w:t xml:space="preserve">пациенто</w:t>
      </w:r>
      <w:r>
        <w:rPr>
          <w:color w:val="000000"/>
        </w:rPr>
        <w:t xml:space="preserve">-местах). </w:t>
      </w:r>
    </w:p>
    <w:p>
      <w:pPr>
        <w:spacing w:line="276" w:lineRule="auto"/>
        <w:ind w:firstLine="709"/>
      </w:pPr>
      <w:r>
        <w:rPr>
          <w:color w:val="000000"/>
        </w:rPr>
        <w:t xml:space="preserve">Для медицинской реабилитации на территории автономного округа функционируют 103 койки медицинской реабилитации наркозависимых лиц (2024 году – 103):</w:t>
      </w:r>
    </w:p>
    <w:p>
      <w:pPr>
        <w:tabs>
          <w:tab w:val="left" w:pos="6646" w:leader="none"/>
        </w:tabs>
        <w:spacing w:line="276" w:lineRule="auto"/>
        <w:ind w:firstLine="709"/>
      </w:pPr>
      <w:r>
        <w:rPr>
          <w:color w:val="000000"/>
        </w:rPr>
        <w:t xml:space="preserve">- казенное учреждение Ханты-Мансийского автономного округа – Югры «Лемпинский наркологический реабилитационный центр» – 50 коек;</w:t>
      </w:r>
    </w:p>
    <w:p>
      <w:pPr>
        <w:tabs>
          <w:tab w:val="left" w:pos="6646" w:leader="none"/>
        </w:tabs>
        <w:spacing w:line="276" w:lineRule="auto"/>
        <w:ind w:firstLine="709"/>
      </w:pPr>
      <w:r>
        <w:rPr>
          <w:color w:val="000000"/>
        </w:rPr>
        <w:t xml:space="preserve">- бюджетное учреждение Ханты-Мансийского автономного округа – Югры «Сургутская клиническая психоневрологическая больница» – 25 коек;</w:t>
      </w:r>
    </w:p>
    <w:p>
      <w:pPr>
        <w:tabs>
          <w:tab w:val="left" w:pos="6646" w:leader="none"/>
        </w:tabs>
        <w:spacing w:line="276" w:lineRule="auto"/>
        <w:ind w:firstLine="709"/>
      </w:pPr>
      <w:r>
        <w:rPr>
          <w:color w:val="000000"/>
        </w:rPr>
        <w:t xml:space="preserve">- бюджетное учреждение Ханты-Мансийского автономного округа – Югры «Нижневартовская психоневрологическая больница» – 25 коек;</w:t>
      </w:r>
    </w:p>
    <w:p>
      <w:pPr>
        <w:tabs>
          <w:tab w:val="left" w:pos="6646" w:leader="none"/>
        </w:tabs>
        <w:spacing w:line="276" w:lineRule="auto"/>
        <w:ind w:firstLine="709"/>
      </w:pPr>
      <w:r>
        <w:rPr>
          <w:color w:val="000000"/>
        </w:rPr>
        <w:t xml:space="preserve">- бюджетное учреждение Ханты-Мансийского автономного округа – Югры «Советская психоневрологическая больница», филиал в г. </w:t>
      </w:r>
      <w:r>
        <w:rPr>
          <w:color w:val="000000"/>
        </w:rPr>
        <w:t xml:space="preserve">Урае</w:t>
      </w:r>
      <w:r>
        <w:rPr>
          <w:color w:val="000000"/>
        </w:rPr>
        <w:t xml:space="preserve"> – 3 койки.</w:t>
      </w:r>
    </w:p>
    <w:p>
      <w:pPr>
        <w:tabs>
          <w:tab w:val="left" w:pos="6646" w:leader="none"/>
        </w:tabs>
        <w:spacing w:line="276" w:lineRule="auto"/>
        <w:ind w:firstLine="709"/>
        <w:rPr>
          <w:color w:val="000000"/>
        </w:rPr>
      </w:pPr>
      <w:r>
        <w:rPr>
          <w:color w:val="000000"/>
        </w:rP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w:t>
      </w:r>
      <w:r>
        <w:rPr>
          <w:color w:val="000000"/>
        </w:rPr>
        <w:t xml:space="preserve">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w:t>
      </w:r>
      <w:r>
        <w:rPr>
          <w:color w:val="000000"/>
        </w:rPr>
        <w:t xml:space="preserve">социальной развития Ханты-Мансийского автономного округа – Югры для прохождения социальной реабилитации и ресоциализации.</w:t>
      </w:r>
      <w:r>
        <w:rPr>
          <w:color w:val="000000"/>
        </w:rPr>
      </w:r>
    </w:p>
    <w:p>
      <w:pPr>
        <w:spacing w:line="276" w:lineRule="auto"/>
        <w:ind w:firstLine="709"/>
      </w:pPr>
      <w:r>
        <w:t xml:space="preserve">В автономном округе социальную реабилитацию и </w:t>
      </w:r>
      <w:r>
        <w:t xml:space="preserve">ресоциализацию</w:t>
      </w:r>
      <w:r>
        <w:t xml:space="preserve"> лиц, допускающих немедицинское потребление наркотических средств и психотропных веществ, и членов их семей осуществляют:</w:t>
      </w:r>
    </w:p>
    <w:p>
      <w:pPr>
        <w:tabs>
          <w:tab w:val="left" w:pos="993" w:leader="none"/>
        </w:tabs>
        <w:spacing w:line="276" w:lineRule="auto"/>
        <w:ind w:firstLine="709"/>
      </w:pPr>
      <w:r>
        <w:t xml:space="preserve">-</w:t>
      </w:r>
      <w:r>
        <w:t xml:space="preserve"> государственные учреждение: бюджетное учреждение Ханты-Мансийского автономного округа – Югры «Советский районный социально-реабилитационный центр для несовершеннолетних» (сектор реабилитации несовершеннолетних с различными зависимостями на 10 койко-мест, </w:t>
      </w:r>
      <w:r>
        <w:t xml:space="preserve">пгт</w:t>
      </w:r>
      <w:r>
        <w:t xml:space="preserve">. Пионерский, Советский район);</w:t>
      </w:r>
    </w:p>
    <w:p>
      <w:pPr>
        <w:tabs>
          <w:tab w:val="left" w:pos="993" w:leader="none"/>
        </w:tabs>
        <w:spacing w:line="276" w:lineRule="auto"/>
        <w:ind w:firstLine="709"/>
      </w:pPr>
      <w:r>
        <w:rPr>
          <w:lang w:eastAsia="zh-CN"/>
        </w:rPr>
        <w:t xml:space="preserve">- Сургутский районный центр социальной адаптации (сектор </w:t>
      </w:r>
      <w:r>
        <w:rPr>
          <w:bCs/>
          <w:lang w:eastAsia="zh-CN"/>
        </w:rPr>
        <w:t xml:space="preserve">социальной реабилитации и адаптации лиц, потребляющих наркотические вещества и прошедшие обследование и лечение от зависимости на 8 койко-мест, Сургутский район)</w:t>
      </w:r>
      <w:r>
        <w:rPr>
          <w:lang w:eastAsia="zh-CN"/>
        </w:rPr>
        <w:t xml:space="preserve">;</w:t>
      </w:r>
    </w:p>
    <w:p>
      <w:pPr>
        <w:tabs>
          <w:tab w:val="left" w:pos="993" w:leader="none"/>
        </w:tabs>
        <w:spacing w:line="276" w:lineRule="auto"/>
        <w:ind w:firstLine="709"/>
      </w:pPr>
      <w:r>
        <w:t xml:space="preserve">- негосударственные социально ориентированные некоммерческие организации. </w:t>
      </w:r>
    </w:p>
    <w:p>
      <w:pPr>
        <w:spacing w:line="276" w:lineRule="auto"/>
        <w:ind w:firstLine="709"/>
        <w:contextualSpacing/>
        <w:rPr>
          <w:bCs/>
        </w:rPr>
      </w:pPr>
      <w:r>
        <w:rPr>
          <w:bCs/>
        </w:rPr>
        <w:t xml:space="preserve">В целях отбора организаций для включения в реестр негосударственных организаций, оказывающих услуги по социальной реабилитации и </w:t>
      </w:r>
      <w:r>
        <w:rPr>
          <w:bCs/>
        </w:rPr>
        <w:t xml:space="preserve">ресоциализаци</w:t>
      </w:r>
      <w:r>
        <w:rPr>
          <w:bCs/>
        </w:rPr>
        <w:t xml:space="preserve">, </w:t>
      </w:r>
      <w:r>
        <w:t xml:space="preserve">в Югре утвержден </w:t>
      </w:r>
      <w:r>
        <w:rPr>
          <w:bCs/>
        </w:rPr>
        <w:t xml:space="preserve">порядок его проведения</w:t>
      </w:r>
      <w:r>
        <w:rPr>
          <w:rStyle w:val="1618"/>
          <w:bCs/>
        </w:rPr>
        <w:footnoteReference w:id="36"/>
      </w:r>
      <w:r>
        <w:rPr>
          <w:bCs/>
        </w:rPr>
        <w:t xml:space="preserve">. Отбор проводится на добровольной основе среди негосударственных организаций, предоставляющих услуги по социальной реабилитации </w:t>
      </w:r>
      <w:r>
        <w:rPr>
          <w:bCs/>
        </w:rPr>
        <w:br/>
        <w:t xml:space="preserve">и ресоциализации на территории автономного округа, бюджетным учреждением автономного округа «Ресурсный центр развития социального обслуживания».</w:t>
      </w:r>
      <w:r>
        <w:rPr>
          <w:bCs/>
        </w:rPr>
      </w:r>
    </w:p>
    <w:p>
      <w:pPr>
        <w:spacing w:line="276" w:lineRule="auto"/>
        <w:ind w:firstLine="709"/>
        <w:contextualSpacing/>
        <w:rPr>
          <w:bCs/>
        </w:rPr>
      </w:pPr>
      <w:r>
        <w:t xml:space="preserve">В </w:t>
      </w:r>
      <w:r>
        <w:rPr>
          <w:bCs/>
        </w:rPr>
        <w:t xml:space="preserve">2025 году в социальную реабилитацию и </w:t>
      </w:r>
      <w:r>
        <w:rPr>
          <w:bCs/>
        </w:rPr>
        <w:t xml:space="preserve">ресоциализацию</w:t>
      </w:r>
      <w:r>
        <w:rPr>
          <w:bCs/>
        </w:rPr>
        <w:t xml:space="preserve"> оказывали следующие негосударственные поставщики социальных услуг:</w:t>
      </w:r>
      <w:r>
        <w:rPr>
          <w:bCs/>
        </w:rPr>
      </w:r>
    </w:p>
    <w:p>
      <w:pPr>
        <w:spacing w:line="276" w:lineRule="auto"/>
        <w:ind w:firstLine="709"/>
      </w:pPr>
      <w:r>
        <w:t xml:space="preserve">- региональная общественная организация по профилактике </w:t>
      </w:r>
      <w:r>
        <w:br/>
        <w:t xml:space="preserve">и реабилитации лиц, страдающих заболеваниями наркоманией </w:t>
      </w:r>
      <w:r>
        <w:br/>
        <w:t xml:space="preserve">и алкоголизмом «Чистый путь», г. Сургут (на 90 койко-мест);</w:t>
      </w:r>
    </w:p>
    <w:p>
      <w:pPr>
        <w:spacing w:line="276" w:lineRule="auto"/>
        <w:ind w:firstLine="709"/>
      </w:pPr>
      <w:r>
        <w:t xml:space="preserve">- автономная некоммерческая организация «Центр социальной реабилитации «Феникс», г. Нижневартовск (на 32 койко-места);</w:t>
      </w:r>
    </w:p>
    <w:p>
      <w:pPr>
        <w:spacing w:line="276" w:lineRule="auto"/>
        <w:ind w:firstLine="709"/>
      </w:pPr>
      <w:r>
        <w:t xml:space="preserve">- региональная благотворительная общественная организация социальной адаптации граждан «Фавор», г. Ханты-Мансийск (на 15 койко-мест);</w:t>
      </w:r>
    </w:p>
    <w:p>
      <w:pPr>
        <w:spacing w:line="276" w:lineRule="auto"/>
        <w:ind w:firstLine="709"/>
      </w:pPr>
      <w:r>
        <w:t xml:space="preserve">- благотворительный фонд социальной и духовной помощи «</w:t>
      </w:r>
      <w:r>
        <w:t xml:space="preserve">Вефиль</w:t>
      </w:r>
      <w:r>
        <w:t xml:space="preserve">», г. </w:t>
      </w:r>
      <w:r>
        <w:t xml:space="preserve">Югорск</w:t>
      </w:r>
      <w:r>
        <w:t xml:space="preserve"> (на 6 койко-мест);</w:t>
      </w:r>
    </w:p>
    <w:p>
      <w:pPr>
        <w:spacing w:line="276" w:lineRule="auto"/>
        <w:ind w:firstLine="709"/>
      </w:pPr>
      <w:r>
        <w:t xml:space="preserve">- благотворительном фонде социальной и духовной помощи «Возрождение», г. Нягань (21 койко-место);</w:t>
      </w:r>
    </w:p>
    <w:p>
      <w:pPr>
        <w:spacing w:line="276" w:lineRule="auto"/>
        <w:ind w:firstLine="709"/>
      </w:pPr>
      <w:r>
        <w:t xml:space="preserve">- автономная некоммерческая организация по оказанию социальной помощи гражданам, имеющих зависимости «Грани», г. </w:t>
      </w:r>
      <w:r>
        <w:t xml:space="preserve">Югорск</w:t>
      </w:r>
      <w:r>
        <w:t xml:space="preserve"> (12 койко-мест).</w:t>
      </w:r>
    </w:p>
    <w:p>
      <w:pPr>
        <w:spacing w:line="276" w:lineRule="auto"/>
        <w:ind w:firstLine="709"/>
        <w:rPr>
          <w:bCs/>
          <w:color w:val="000000"/>
          <w:lang w:bidi="ru-RU"/>
        </w:rPr>
      </w:pPr>
      <w:r>
        <w:rPr>
          <w:bCs/>
          <w:color w:val="000000"/>
          <w:lang w:bidi="ru-RU"/>
        </w:rPr>
        <w:t xml:space="preserve">В соответствии с законодательством автономного округа</w:t>
      </w:r>
      <w:r>
        <w:rPr>
          <w:bCs/>
          <w:color w:val="000000"/>
          <w:vertAlign w:val="superscript"/>
          <w:lang w:bidi="ru-RU"/>
        </w:rPr>
        <w:footnoteReference w:id="37"/>
      </w:r>
      <w:r>
        <w:rPr>
          <w:bCs/>
          <w:color w:val="000000"/>
          <w:lang w:bidi="ru-RU"/>
        </w:rPr>
        <w:br/>
        <w:t xml:space="preserve">под</w:t>
      </w:r>
      <w:r>
        <w:rPr>
          <w:bCs/>
          <w:color w:val="000000"/>
          <w:lang w:bidi="ru-RU"/>
        </w:rPr>
        <w:t xml:space="preserve">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r>
        <w:rPr>
          <w:bCs/>
          <w:color w:val="000000"/>
          <w:lang w:bidi="ru-RU"/>
        </w:rPr>
      </w:r>
    </w:p>
    <w:p>
      <w:pPr>
        <w:spacing w:line="276" w:lineRule="auto"/>
        <w:ind w:firstLine="709"/>
        <w:rPr>
          <w:color w:val="000000"/>
          <w:lang w:bidi="ru-RU"/>
        </w:rPr>
      </w:pPr>
      <w:r>
        <w:rPr>
          <w:color w:val="000000"/>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Pr>
          <w:color w:val="000000"/>
          <w:lang w:bidi="ru-RU"/>
        </w:rPr>
        <w:br/>
        <w:t xml:space="preserve">в автономном округе, расширения сферы участия учреждений, организаций, предприятий, независимо от форм собственности в реализации государственного заказа по социальному обслуживанию населения предусмотрено ежегодное предоставление 40 сертификатов</w:t>
      </w:r>
      <w:r>
        <w:rPr>
          <w:color w:val="000000"/>
          <w:vertAlign w:val="superscript"/>
          <w:lang w:bidi="ru-RU"/>
        </w:rPr>
        <w:footnoteReference w:id="38"/>
      </w:r>
      <w:r>
        <w:rPr>
          <w:color w:val="000000"/>
          <w:lang w:bidi="ru-RU"/>
        </w:rPr>
        <w:t xml:space="preserve"> на оплату услуг по социальной реабилитации и ресоциализации гражданам, страдающим наркологическими заболеваниями. Срок реабилитации составляет от 1 до 6 месяцев 1 раз в календарном году. </w:t>
      </w:r>
      <w:r>
        <w:rPr>
          <w:color w:val="000000"/>
          <w:lang w:bidi="ru-RU"/>
        </w:rPr>
      </w:r>
    </w:p>
    <w:p>
      <w:pPr>
        <w:spacing w:line="276" w:lineRule="auto"/>
        <w:ind w:firstLine="709"/>
        <w:rPr>
          <w:bCs/>
          <w:highlight w:val="white"/>
        </w:rPr>
      </w:pPr>
      <w:r>
        <w:rPr>
          <w:bCs/>
          <w:highlight w:val="white"/>
        </w:rPr>
        <w:t xml:space="preserve">В течение 2025 года социальные услуги по социальной реабилитации получили 75 наркозависимых лиц (2024 г. – 250 человек), </w:t>
      </w:r>
      <w:r>
        <w:rPr>
          <w:bCs/>
          <w:highlight w:val="white"/>
          <w:lang w:bidi="ru-RU"/>
        </w:rPr>
        <w:t xml:space="preserve">из них по системе сертификатов:</w:t>
      </w:r>
      <w:r>
        <w:rPr>
          <w:bCs/>
          <w:highlight w:val="white"/>
        </w:rPr>
      </w:r>
    </w:p>
    <w:p>
      <w:pPr>
        <w:spacing w:line="276" w:lineRule="auto"/>
        <w:ind w:firstLine="709"/>
        <w:rPr>
          <w:bCs/>
          <w:highlight w:val="white"/>
        </w:rPr>
      </w:pPr>
      <w:r>
        <w:rPr>
          <w:bCs/>
          <w:highlight w:val="white"/>
          <w:lang w:bidi="ru-RU"/>
        </w:rPr>
        <w:t xml:space="preserve">- 16 граждан в </w:t>
      </w:r>
      <w:r>
        <w:rPr>
          <w:highlight w:val="white"/>
          <w:lang w:eastAsia="zh-CN"/>
        </w:rPr>
        <w:t xml:space="preserve">региональной общественной организации </w:t>
      </w:r>
      <w:r>
        <w:rPr>
          <w:highlight w:val="white"/>
          <w:lang w:eastAsia="zh-CN"/>
        </w:rPr>
        <w:br/>
        <w:t xml:space="preserve">по профилактике и реабилитации лиц, страдающих наркоманией </w:t>
      </w:r>
      <w:r>
        <w:rPr>
          <w:highlight w:val="white"/>
          <w:lang w:eastAsia="zh-CN"/>
        </w:rPr>
        <w:br/>
        <w:t xml:space="preserve">и алкоголизмом «Чистый путь»</w:t>
      </w:r>
      <w:r>
        <w:rPr>
          <w:highlight w:val="white"/>
        </w:rPr>
        <w:t xml:space="preserve">»</w:t>
      </w:r>
      <w:r>
        <w:rPr>
          <w:bCs/>
          <w:highlight w:val="white"/>
          <w:lang w:bidi="ru-RU"/>
        </w:rPr>
        <w:t xml:space="preserve">;</w:t>
      </w:r>
      <w:r>
        <w:rPr>
          <w:bCs/>
          <w:highlight w:val="white"/>
        </w:rPr>
      </w:r>
    </w:p>
    <w:p>
      <w:pPr>
        <w:spacing w:line="276" w:lineRule="auto"/>
        <w:ind w:firstLine="709"/>
        <w:rPr>
          <w:bCs/>
          <w:highlight w:val="white"/>
        </w:rPr>
      </w:pPr>
      <w:r>
        <w:rPr>
          <w:bCs/>
          <w:highlight w:val="white"/>
          <w:lang w:bidi="ru-RU"/>
        </w:rPr>
        <w:t xml:space="preserve">- 7 гражданин в </w:t>
      </w:r>
      <w:r>
        <w:rPr>
          <w:bCs/>
          <w:highlight w:val="white"/>
          <w:lang w:eastAsia="zh-CN"/>
        </w:rPr>
        <w:t xml:space="preserve">автономной некоммерческой организации «Центр социальной реабилитации «Феникс»;</w:t>
      </w:r>
      <w:r>
        <w:rPr>
          <w:bCs/>
          <w:highlight w:val="white"/>
        </w:rPr>
      </w:r>
    </w:p>
    <w:p>
      <w:pPr>
        <w:spacing w:line="276" w:lineRule="auto"/>
        <w:ind w:firstLine="709"/>
        <w:rPr>
          <w:highlight w:val="white"/>
        </w:rPr>
      </w:pPr>
      <w:r>
        <w:rPr>
          <w:bCs/>
          <w:highlight w:val="white"/>
          <w:lang w:eastAsia="zh-CN"/>
        </w:rPr>
        <w:t xml:space="preserve">- 1 гражданин в </w:t>
      </w:r>
      <w:r>
        <w:rPr>
          <w:highlight w:val="white"/>
        </w:rPr>
        <w:t xml:space="preserve">региональной благотворительной общественной организацией социальной адаптации граждан «Фавор»</w:t>
      </w:r>
      <w:r>
        <w:rPr>
          <w:bCs/>
          <w:highlight w:val="white"/>
        </w:rPr>
        <w:t xml:space="preserve">;</w:t>
      </w:r>
      <w:r>
        <w:rPr>
          <w:highlight w:val="white"/>
        </w:rPr>
      </w:r>
    </w:p>
    <w:p>
      <w:pPr>
        <w:spacing w:line="276" w:lineRule="auto"/>
        <w:ind w:firstLine="709"/>
        <w:rPr>
          <w:highlight w:val="white"/>
        </w:rPr>
      </w:pPr>
      <w:r>
        <w:rPr>
          <w:bCs/>
          <w:highlight w:val="white"/>
        </w:rPr>
        <w:t xml:space="preserve">- 4 гражданина в </w:t>
      </w:r>
      <w:r>
        <w:rPr>
          <w:highlight w:val="white"/>
        </w:rPr>
        <w:t xml:space="preserve">благотворительном фонде социальной и духовной помощи «</w:t>
      </w:r>
      <w:r>
        <w:rPr>
          <w:highlight w:val="white"/>
        </w:rPr>
        <w:t xml:space="preserve">Вефиль</w:t>
      </w:r>
      <w:r>
        <w:rPr>
          <w:highlight w:val="white"/>
        </w:rPr>
        <w:t xml:space="preserve">»;</w:t>
      </w:r>
      <w:r>
        <w:rPr>
          <w:highlight w:val="white"/>
        </w:rPr>
      </w:r>
    </w:p>
    <w:p>
      <w:pPr>
        <w:spacing w:line="276" w:lineRule="auto"/>
        <w:ind w:firstLine="709"/>
        <w:rPr>
          <w:highlight w:val="white"/>
        </w:rPr>
      </w:pPr>
      <w:r>
        <w:rPr>
          <w:highlight w:val="white"/>
        </w:rPr>
        <w:t xml:space="preserve">- 2 гражданина в Благотворительном фонде социальной и духовной помощи «Возрождение».</w:t>
      </w:r>
      <w:r>
        <w:rPr>
          <w:highlight w:val="white"/>
        </w:rPr>
      </w:r>
    </w:p>
    <w:p>
      <w:pPr>
        <w:spacing w:line="276" w:lineRule="auto"/>
        <w:ind w:firstLine="709"/>
        <w:rPr>
          <w:color w:val="000000"/>
        </w:rPr>
      </w:pPr>
      <w:r>
        <w:rPr>
          <w:color w:val="000000"/>
        </w:rPr>
        <w:t xml:space="preserve">На территории Югры применяется Регламент взаимодействия участников комплексной реабилитац</w:t>
      </w:r>
      <w:r>
        <w:rPr>
          <w:color w:val="000000"/>
        </w:rPr>
        <w:t xml:space="preserve">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совместным приказом Департамента здравоохранения Ханты-Мансийского автономного округа – Югры, Де</w:t>
      </w:r>
      <w:r>
        <w:rPr>
          <w:color w:val="000000"/>
        </w:rPr>
        <w:t xml:space="preserve">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 05.02.2024 № 182/224р/1</w:t>
      </w:r>
      <w:r>
        <w:rPr>
          <w:color w:val="000000"/>
        </w:rPr>
        <w:t xml:space="preserve">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r>
        <w:rPr>
          <w:color w:val="000000"/>
        </w:rPr>
      </w:r>
    </w:p>
    <w:p>
      <w:pPr>
        <w:spacing w:line="276" w:lineRule="auto"/>
        <w:ind w:firstLine="709"/>
        <w:rPr>
          <w:color w:val="000000"/>
        </w:rPr>
      </w:pPr>
      <w:r>
        <w:rPr>
          <w:color w:val="000000"/>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Pr>
          <w:color w:val="000000"/>
          <w:lang w:bidi="ru-RU"/>
        </w:rPr>
        <w:br/>
        <w:t xml:space="preserve">в социальной реабилитации и ресоциализации, учреждениями заключены соглашения о сотрудничестве (социальном партнерстве) с психоневрологическими больницами, Центром профилактики и борьбы со СПИД.</w:t>
      </w:r>
      <w:r>
        <w:rPr>
          <w:color w:val="000000"/>
        </w:rPr>
      </w:r>
    </w:p>
    <w:p>
      <w:pPr>
        <w:spacing w:line="276" w:lineRule="auto"/>
        <w:ind w:firstLine="709"/>
        <w:rPr>
          <w:color w:val="000000"/>
        </w:rPr>
      </w:pPr>
      <w:r>
        <w:rPr>
          <w:bCs/>
          <w:color w:val="000000"/>
          <w:lang w:bidi="ru-RU"/>
        </w:rPr>
        <w:t xml:space="preserve">Межведомственная деятельность по социальной реабилитации и ресоциализации наркозависимых лиц организована посредством реализации соглашений между заинтересованными сторонами в автономном округе: Управлением Министерст</w:t>
      </w:r>
      <w:r>
        <w:rPr>
          <w:bCs/>
          <w:color w:val="000000"/>
          <w:lang w:bidi="ru-RU"/>
        </w:rPr>
        <w:t xml:space="preserve">ва внутренних дел, Управлением Федеральной службы исполнения наказаний, государственными органами 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r>
        <w:rPr>
          <w:color w:val="000000"/>
        </w:rPr>
      </w:r>
    </w:p>
    <w:p>
      <w:pPr>
        <w:spacing w:line="276" w:lineRule="auto"/>
        <w:ind w:firstLine="709"/>
      </w:pPr>
      <w:r>
        <w:t xml:space="preserve">С целью выявления несовершеннолетних и (или) их родителей</w:t>
      </w:r>
      <w:r>
        <w:br/>
        <w:t xml:space="preserve">или законных предст</w:t>
      </w:r>
      <w:r>
        <w:t xml:space="preserve">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 и ресоциализации лиц данной категории, специалистами социальных служб осуществляется:</w:t>
      </w:r>
    </w:p>
    <w:p>
      <w:pPr>
        <w:spacing w:line="276" w:lineRule="auto"/>
        <w:ind w:firstLine="709"/>
      </w:pPr>
      <w:r>
        <w:t xml:space="preserve">- подомовой обход семей, проживающих на социальных участках;</w:t>
      </w:r>
    </w:p>
    <w:p>
      <w:pPr>
        <w:spacing w:line="276" w:lineRule="auto"/>
        <w:ind w:firstLine="709"/>
      </w:pPr>
      <w:r>
        <w:t xml:space="preserve">- патронаж семей, состоящих на профилактическом учете;</w:t>
      </w:r>
    </w:p>
    <w:p>
      <w:pPr>
        <w:spacing w:line="276" w:lineRule="auto"/>
        <w:ind w:firstLine="709"/>
      </w:pPr>
      <w:r>
        <w:t xml:space="preserve">- организация занятости детей в период каникул;</w:t>
      </w:r>
    </w:p>
    <w:p>
      <w:pPr>
        <w:spacing w:line="276" w:lineRule="auto"/>
        <w:ind w:firstLine="709"/>
      </w:pPr>
      <w:r>
        <w:t xml:space="preserve">- телефонное консультирование всех заинтересованных лиц.</w:t>
      </w:r>
    </w:p>
    <w:p>
      <w:pPr>
        <w:pStyle w:val="1646"/>
        <w:spacing w:line="276" w:lineRule="auto"/>
        <w:ind w:firstLine="709"/>
        <w:jc w:val="both"/>
        <w:rPr>
          <w:rFonts w:ascii="Times New Roman" w:hAnsi="Times New Roman"/>
          <w:szCs w:val="28"/>
        </w:rPr>
      </w:pPr>
      <w:r>
        <w:rPr>
          <w:rFonts w:ascii="Times New Roman" w:hAnsi="Times New Roman" w:cs="Times New Roman"/>
          <w:sz w:val="28"/>
          <w:szCs w:val="28"/>
        </w:rPr>
        <w:t xml:space="preserve">В соответствии с приказом </w:t>
      </w:r>
      <w:r>
        <w:rPr>
          <w:rFonts w:ascii="Times New Roman" w:hAnsi="Times New Roman" w:cs="Times New Roman"/>
          <w:sz w:val="28"/>
          <w:szCs w:val="28"/>
        </w:rPr>
        <w:t xml:space="preserve">Депсоцразвития</w:t>
      </w:r>
      <w:r>
        <w:rPr>
          <w:rFonts w:ascii="Times New Roman" w:hAnsi="Times New Roman" w:cs="Times New Roman"/>
          <w:sz w:val="28"/>
          <w:szCs w:val="28"/>
        </w:rPr>
        <w:t xml:space="preserve"> Югры от 21.04.2023 </w:t>
      </w:r>
      <w:r>
        <w:rPr>
          <w:rFonts w:ascii="Times New Roman" w:hAnsi="Times New Roman" w:cs="Times New Roman"/>
          <w:sz w:val="28"/>
          <w:szCs w:val="28"/>
        </w:rPr>
        <w:br/>
        <w:t xml:space="preserve">№ 540-р</w:t>
      </w:r>
      <w:r>
        <w:rPr>
          <w:rStyle w:val="1618"/>
          <w:rFonts w:ascii="Times New Roman" w:hAnsi="Times New Roman"/>
          <w:sz w:val="28"/>
          <w:szCs w:val="28"/>
        </w:rPr>
        <w:footnoteReference w:id="39"/>
      </w:r>
      <w:r>
        <w:rPr>
          <w:rFonts w:ascii="Times New Roman" w:hAnsi="Times New Roman" w:cs="Times New Roman"/>
          <w:sz w:val="28"/>
          <w:szCs w:val="28"/>
        </w:rPr>
        <w:t xml:space="preserve"> Советский районный социально-реабилитационный центр для несовершеннолетних организует социальную реабилитацию несовершеннолетних с различными видами зависимостей. Социальная реабилитация предоставляется несовершеннолетним следующих категорий: </w:t>
      </w:r>
      <w:r>
        <w:rPr>
          <w:rFonts w:ascii="Times New Roman" w:hAnsi="Times New Roman"/>
          <w:szCs w:val="28"/>
        </w:rPr>
      </w:r>
    </w:p>
    <w:p>
      <w:pPr>
        <w:pStyle w:val="1646"/>
        <w:spacing w:line="276" w:lineRule="auto"/>
        <w:ind w:firstLine="709"/>
        <w:jc w:val="both"/>
        <w:rPr>
          <w:rFonts w:ascii="Times New Roman" w:hAnsi="Times New Roman"/>
          <w:szCs w:val="28"/>
        </w:rPr>
      </w:pPr>
      <w:r>
        <w:rPr>
          <w:rFonts w:ascii="Times New Roman" w:hAnsi="Times New Roman" w:cs="Times New Roman"/>
          <w:sz w:val="28"/>
          <w:szCs w:val="28"/>
        </w:rPr>
        <w:t xml:space="preserve">замеченные в употреблении алкогольной и спиртосодержащей продукции, психоактивных/психотропных веществ, в отношении которых проводится индивидуальная профилактическая работа по основному месту жительства несовершеннолетнего;</w:t>
      </w:r>
      <w:r>
        <w:rPr>
          <w:rFonts w:ascii="Times New Roman" w:hAnsi="Times New Roman"/>
          <w:szCs w:val="28"/>
        </w:rPr>
      </w:r>
    </w:p>
    <w:p>
      <w:pPr>
        <w:pStyle w:val="1646"/>
        <w:spacing w:line="276" w:lineRule="auto"/>
        <w:ind w:firstLine="709"/>
        <w:jc w:val="both"/>
        <w:rPr>
          <w:rFonts w:ascii="Times New Roman" w:hAnsi="Times New Roman"/>
          <w:szCs w:val="28"/>
        </w:rPr>
      </w:pPr>
      <w:r>
        <w:rPr>
          <w:rFonts w:ascii="Times New Roman" w:hAnsi="Times New Roman" w:cs="Times New Roman"/>
          <w:sz w:val="28"/>
          <w:szCs w:val="28"/>
        </w:rPr>
        <w:t xml:space="preserve">имеющие письменные рекомендации врача нарколога/психиатра </w:t>
      </w:r>
      <w:r>
        <w:rPr>
          <w:rFonts w:ascii="Times New Roman" w:hAnsi="Times New Roman" w:cs="Times New Roman"/>
          <w:sz w:val="28"/>
          <w:szCs w:val="28"/>
        </w:rPr>
        <w:br/>
        <w:t xml:space="preserve">к прохождению комплексной социальной реабилитации, в том числе прошедших курс медикаментозной коррекции, в состоянии устойчивой ремиссии (при отсутствии медицинских противопоказаний);</w:t>
      </w:r>
      <w:r>
        <w:rPr>
          <w:rFonts w:ascii="Times New Roman" w:hAnsi="Times New Roman"/>
          <w:szCs w:val="28"/>
        </w:rPr>
      </w:r>
    </w:p>
    <w:p>
      <w:pPr>
        <w:pStyle w:val="1646"/>
        <w:spacing w:line="276" w:lineRule="auto"/>
        <w:ind w:firstLine="709"/>
        <w:jc w:val="both"/>
        <w:rPr>
          <w:rFonts w:ascii="Times New Roman" w:hAnsi="Times New Roman"/>
          <w:szCs w:val="28"/>
        </w:rPr>
      </w:pPr>
      <w:r>
        <w:rPr>
          <w:rFonts w:ascii="Times New Roman" w:hAnsi="Times New Roman" w:cs="Times New Roman"/>
          <w:sz w:val="28"/>
          <w:szCs w:val="28"/>
        </w:rPr>
        <w:t xml:space="preserve">несовершеннолетние, состоящие на различных видах учета </w:t>
      </w:r>
      <w:r>
        <w:rPr>
          <w:rFonts w:ascii="Times New Roman" w:hAnsi="Times New Roman" w:cs="Times New Roman"/>
          <w:sz w:val="28"/>
          <w:szCs w:val="28"/>
        </w:rPr>
        <w:br/>
        <w:t xml:space="preserve">с подтвержденным диагнозом зависимого поведения.</w:t>
      </w:r>
      <w:r>
        <w:rPr>
          <w:rFonts w:ascii="Times New Roman" w:hAnsi="Times New Roman"/>
          <w:szCs w:val="28"/>
        </w:rPr>
      </w:r>
    </w:p>
    <w:p>
      <w:pPr>
        <w:spacing w:line="276" w:lineRule="auto"/>
        <w:ind w:firstLine="709"/>
      </w:pPr>
      <w:r>
        <w:t xml:space="preserve">В 2025 году социальную реабилитацию в Советском районном социально-реабилитационном центре для несовершеннолетних прошли </w:t>
      </w:r>
      <w:r>
        <w:br/>
        <w:t xml:space="preserve">9 несовершеннолетних, имеющих различные зависимости, из них:</w:t>
      </w:r>
    </w:p>
    <w:p>
      <w:pPr>
        <w:spacing w:line="276" w:lineRule="auto"/>
        <w:ind w:firstLine="709"/>
      </w:pPr>
      <w:r>
        <w:t xml:space="preserve">- 5 несовершеннолетних, замеченных в потреблении спиртосодержащей продукции;</w:t>
      </w:r>
    </w:p>
    <w:p>
      <w:pPr>
        <w:spacing w:line="276" w:lineRule="auto"/>
        <w:ind w:firstLine="709"/>
      </w:pPr>
      <w:r>
        <w:t xml:space="preserve">- 3 несовершеннолетних, замеченных в потреблении психоактивных веществ;</w:t>
      </w:r>
    </w:p>
    <w:p>
      <w:pPr>
        <w:spacing w:line="276" w:lineRule="auto"/>
        <w:ind w:firstLine="709"/>
      </w:pPr>
      <w:r>
        <w:t xml:space="preserve">- 1 несовершеннолетний, замеченный в потреблении наркотических веществ.</w:t>
      </w:r>
    </w:p>
    <w:p>
      <w:pPr>
        <w:spacing w:line="276" w:lineRule="auto"/>
        <w:ind w:firstLine="709"/>
      </w:pPr>
      <w:r>
        <w:t xml:space="preserve">В целях восстановления социального статуса наркопотребителей учреждениями социального обслуживания</w:t>
      </w:r>
      <w:r>
        <w:rPr>
          <w:bCs/>
        </w:rPr>
        <w:t xml:space="preserve"> с</w:t>
      </w:r>
      <w:r>
        <w:t xml:space="preserve"> гражданами, прошедшими курс </w:t>
      </w:r>
      <w:r>
        <w:t xml:space="preserve">социальной реабилитации от наркомании, в течение 6-18 месяцев продолжается работа в рамках социального сопровождения. Граждане повторно приз</w:t>
      </w:r>
      <w:r>
        <w:t xml:space="preserve">наются нуждающимися в социальном обслуживании, им предоставляются услуги в соответствии с индивидуальной программой предоставления социальных услуг, которая включает в себя социально-правовые, социально-педагогические, социально-трудовые, социально-психоло</w:t>
      </w:r>
      <w:r>
        <w:t xml:space="preserve">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pPr>
        <w:spacing w:line="276" w:lineRule="auto"/>
        <w:ind w:firstLine="709"/>
      </w:pPr>
      <w:r>
        <w:t xml:space="preserve">Для граждан данной категории в учреждениях социального обслуживания предусмотрена психологическая помощь, направленная</w:t>
      </w:r>
      <w:r>
        <w:br/>
        <w:t xml:space="preserve">на восстановление духовных, моральных и нравственных, общечеловеческих ценно</w:t>
      </w:r>
      <w:r>
        <w:t xml:space="preserve">стей, воспитание чувства социальной значимости, ответственности, организация тренингов личностного роста, групп поддержки, индивидуальных бесед, предоставление возможности построения новых контактов с людьми вне среды, связанной с употреблением наркотиков.</w:t>
      </w:r>
    </w:p>
    <w:p>
      <w:pPr>
        <w:spacing w:line="276" w:lineRule="auto"/>
        <w:ind w:firstLine="709"/>
      </w:pPr>
      <w:r>
        <w:rPr>
          <w:color w:val="000000"/>
        </w:rPr>
        <w:t xml:space="preserve">На территории Ханты-Мансийского автономного округа – Югры условно-осужденные лица, страдающие наркологиче</w:t>
      </w:r>
      <w:r>
        <w:rPr>
          <w:color w:val="000000"/>
        </w:rP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pPr>
        <w:spacing w:line="276" w:lineRule="auto"/>
        <w:ind w:firstLine="709"/>
        <w:rPr>
          <w:color w:val="000000"/>
        </w:rPr>
      </w:pPr>
      <w:r>
        <w:rPr>
          <w:color w:val="000000"/>
        </w:rPr>
        <w:t xml:space="preserve">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rPr>
          <w:color w:val="000000"/>
        </w:rPr>
      </w:r>
    </w:p>
    <w:p>
      <w:pPr>
        <w:spacing w:line="276" w:lineRule="auto"/>
        <w:ind w:firstLine="709"/>
      </w:pPr>
      <w:r>
        <w:rPr>
          <w:lang w:eastAsia="zh-CN" w:bidi="hi-IN"/>
        </w:rPr>
        <w:t xml:space="preserve">Таким образом, в автономном округе выстроена модель</w:t>
      </w:r>
      <w:r>
        <w:rPr>
          <w:lang w:eastAsia="zh-CN" w:bidi="hi-IN"/>
        </w:rPr>
        <w:br/>
        <w:t xml:space="preserve">по реабилитации и ресоциализации наркопотребителей, обеспечено </w:t>
      </w:r>
      <w:r>
        <w:rPr>
          <w:lang w:eastAsia="zh-CN" w:bidi="hi-IN"/>
        </w:rPr>
        <w:t xml:space="preserve">постреабилитационное</w:t>
      </w:r>
      <w:r>
        <w:rPr>
          <w:lang w:eastAsia="zh-CN" w:bidi="hi-IN"/>
        </w:rPr>
        <w:t xml:space="preserve">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r>
        <w:t xml:space="preserve">.</w:t>
      </w:r>
    </w:p>
    <w:p>
      <w:pPr>
        <w:tabs>
          <w:tab w:val="left" w:pos="6646" w:leader="none"/>
        </w:tabs>
        <w:spacing w:line="276" w:lineRule="auto"/>
        <w:ind w:firstLine="709"/>
      </w:pPr>
      <w:r>
        <w:rPr>
          <w:color w:val="000000"/>
        </w:rPr>
        <w:t xml:space="preserve">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w:t>
      </w:r>
      <w:r>
        <w:rPr>
          <w:color w:val="000000"/>
        </w:rPr>
        <w:br/>
      </w:r>
      <w:r>
        <w:rPr>
          <w:color w:val="000000"/>
        </w:rPr>
        <w:t xml:space="preserve"> по Ханты-Мансийскому автономного округа – Югре от 18.10.2016 № 1119/700-р/1022 «Об организации</w:t>
      </w:r>
      <w:r>
        <w:rPr>
          <w:color w:val="000000"/>
        </w:rPr>
        <w:t xml:space="preserve">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Департаме</w:t>
      </w:r>
      <w:r>
        <w:rPr>
          <w:color w:val="000000"/>
        </w:rPr>
        <w:t xml:space="preserve">нта здравоохранения Ханты-Мансийского автономного округа – Югры от 11.09.2015 № 962 «О внесении изменений в приказ Департамента здравоохранения Ханты-Мансийского автономного округа – Югры от 10.12.2014 № 1249 «Об организации лечения и медико-социальной реа</w:t>
      </w:r>
      <w:r>
        <w:rPr>
          <w:color w:val="000000"/>
        </w:rPr>
        <w:t xml:space="preserve">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pPr>
        <w:spacing w:line="276" w:lineRule="auto"/>
        <w:ind w:firstLine="709"/>
      </w:pPr>
      <w:r>
        <w:rPr>
          <w:color w:val="000000"/>
        </w:rP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pPr>
        <w:spacing w:line="276" w:lineRule="auto"/>
        <w:ind w:firstLine="709"/>
        <w:rPr>
          <w:b/>
          <w:bCs/>
          <w:u w:val="single"/>
        </w:rPr>
      </w:pPr>
      <w:r>
        <w:rPr>
          <w:b/>
          <w:bCs/>
          <w:color w:val="000000"/>
          <w:u w:val="single"/>
        </w:rPr>
        <w:t xml:space="preserve">Межрайонный (второй) уровень</w:t>
      </w:r>
      <w:r>
        <w:rPr>
          <w:b/>
          <w:bCs/>
          <w:u w:val="single"/>
        </w:rPr>
      </w:r>
    </w:p>
    <w:p>
      <w:pPr>
        <w:spacing w:line="276" w:lineRule="auto"/>
        <w:ind w:firstLine="709"/>
      </w:pPr>
      <w:r>
        <w:rPr>
          <w:color w:val="000000"/>
        </w:rP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pPr>
        <w:spacing w:line="276" w:lineRule="auto"/>
        <w:ind w:firstLine="709"/>
      </w:pPr>
      <w:r>
        <w:rPr>
          <w:color w:val="000000"/>
        </w:rP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rPr>
          <w:color w:val="000000"/>
        </w:rP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pPr>
        <w:spacing w:line="276" w:lineRule="auto"/>
        <w:ind w:firstLine="709"/>
      </w:pPr>
      <w:r>
        <w:rPr>
          <w:color w:val="000000"/>
        </w:rPr>
        <w:t xml:space="preserve">Медицинских организаций, оказывающих наркологическую помощь на втором уровне (межрайонном - межмуниципальном) - пять психоневрологических больниц (г. Нижневартовск, г. Сургут, пос. </w:t>
      </w:r>
      <w:r>
        <w:rPr>
          <w:color w:val="000000"/>
        </w:rPr>
        <w:t xml:space="preserve">Алябьево</w:t>
      </w:r>
      <w:r>
        <w:rPr>
          <w:color w:val="000000"/>
        </w:rPr>
        <w:t xml:space="preserve"> Советского района, г. Ханты-Мансийск, г. </w:t>
      </w:r>
      <w:r>
        <w:rPr>
          <w:color w:val="000000"/>
        </w:rPr>
        <w:t xml:space="preserve">Мегион</w:t>
      </w:r>
      <w:r>
        <w:rPr>
          <w:color w:val="000000"/>
        </w:rPr>
        <w:t xml:space="preserve">).</w:t>
      </w:r>
    </w:p>
    <w:p>
      <w:pPr>
        <w:spacing w:line="276" w:lineRule="auto"/>
        <w:ind w:firstLine="709"/>
      </w:pPr>
      <w:r>
        <w:rPr>
          <w:color w:val="000000"/>
        </w:rPr>
        <w:t xml:space="preserve">Химико-токсикологические исследования проводятся в клинических лабораториях психоневрологических учреждений:</w:t>
      </w:r>
    </w:p>
    <w:p>
      <w:pPr>
        <w:pStyle w:val="1615"/>
        <w:numPr>
          <w:numId w:val="16"/>
          <w:ilvl w:val="0"/>
        </w:numPr>
        <w:tabs>
          <w:tab w:val="left" w:pos="1080" w:leader="none"/>
          <w:tab w:val="left" w:pos="1260" w:leader="none"/>
        </w:tabs>
        <w:spacing w:line="276" w:lineRule="auto"/>
        <w:ind w:left="0" w:firstLine="652"/>
      </w:pPr>
      <w:r>
        <w:rPr>
          <w:color w:val="000000"/>
        </w:rPr>
        <w:t xml:space="preserve">БУ «Нижневартовская психоневрологическая больница»,</w:t>
      </w:r>
      <w:r>
        <w:rPr>
          <w:color w:val="000000"/>
        </w:rPr>
        <w:br/>
        <w:t xml:space="preserve">г. Нижневартовск; </w:t>
      </w:r>
    </w:p>
    <w:p>
      <w:pPr>
        <w:pStyle w:val="1615"/>
        <w:numPr>
          <w:numId w:val="16"/>
          <w:ilvl w:val="0"/>
        </w:numPr>
        <w:tabs>
          <w:tab w:val="left" w:pos="1080" w:leader="none"/>
          <w:tab w:val="left" w:pos="1260" w:leader="none"/>
        </w:tabs>
        <w:spacing w:line="276" w:lineRule="auto"/>
        <w:ind w:left="0" w:firstLine="652"/>
      </w:pPr>
      <w:r>
        <w:rPr>
          <w:color w:val="000000"/>
        </w:rPr>
        <w:t xml:space="preserve">БУ «Психоневрологическая больница имени Святой </w:t>
      </w:r>
      <w:r>
        <w:rPr>
          <w:color w:val="000000"/>
        </w:rPr>
        <w:t xml:space="preserve">Преподобномученицы</w:t>
      </w:r>
      <w:r>
        <w:rPr>
          <w:color w:val="000000"/>
        </w:rPr>
        <w:t xml:space="preserve"> Елизаветы», г. </w:t>
      </w:r>
      <w:r>
        <w:rPr>
          <w:color w:val="000000"/>
        </w:rPr>
        <w:t xml:space="preserve">Мегион</w:t>
      </w:r>
      <w:r>
        <w:rPr>
          <w:color w:val="000000"/>
        </w:rPr>
        <w:t xml:space="preserve">;</w:t>
      </w:r>
    </w:p>
    <w:p>
      <w:pPr>
        <w:pStyle w:val="1615"/>
        <w:numPr>
          <w:numId w:val="16"/>
          <w:ilvl w:val="0"/>
        </w:numPr>
        <w:tabs>
          <w:tab w:val="left" w:pos="1080" w:leader="none"/>
          <w:tab w:val="left" w:pos="1260" w:leader="none"/>
        </w:tabs>
        <w:spacing w:line="276" w:lineRule="auto"/>
        <w:ind w:left="0" w:firstLine="652"/>
      </w:pPr>
      <w:r>
        <w:rPr>
          <w:color w:val="000000"/>
        </w:rPr>
        <w:t xml:space="preserve">БУ «Ханты-Мансийская клиническая психоневрологическая больница», г. Ханты-Мансийск;</w:t>
      </w:r>
    </w:p>
    <w:p>
      <w:pPr>
        <w:pStyle w:val="1615"/>
        <w:numPr>
          <w:numId w:val="16"/>
          <w:ilvl w:val="0"/>
        </w:numPr>
        <w:tabs>
          <w:tab w:val="left" w:pos="1080" w:leader="none"/>
          <w:tab w:val="left" w:pos="1260" w:leader="none"/>
        </w:tabs>
        <w:spacing w:line="276" w:lineRule="auto"/>
        <w:ind w:left="0" w:firstLine="652"/>
      </w:pPr>
      <w:r>
        <w:rPr>
          <w:color w:val="000000"/>
        </w:rPr>
        <w:t xml:space="preserve">БУ «Сургутская клиническая психоневрологическая больница»,</w:t>
      </w:r>
      <w:r>
        <w:rPr>
          <w:color w:val="000000"/>
        </w:rPr>
        <w:br/>
        <w:t xml:space="preserve"> г. Сургут; </w:t>
      </w:r>
    </w:p>
    <w:p>
      <w:pPr>
        <w:pStyle w:val="1615"/>
        <w:numPr>
          <w:numId w:val="16"/>
          <w:ilvl w:val="0"/>
        </w:numPr>
        <w:tabs>
          <w:tab w:val="left" w:pos="1080" w:leader="none"/>
          <w:tab w:val="left" w:pos="1260" w:leader="none"/>
        </w:tabs>
        <w:spacing w:line="276" w:lineRule="auto"/>
        <w:ind w:left="0" w:firstLine="652"/>
      </w:pPr>
      <w:r>
        <w:rPr>
          <w:color w:val="000000"/>
        </w:rPr>
        <w:t xml:space="preserve">БУ «Советская психоневрологическая больница», п. </w:t>
      </w:r>
      <w:r>
        <w:rPr>
          <w:color w:val="000000"/>
        </w:rPr>
        <w:t xml:space="preserve">Алябьевский</w:t>
      </w:r>
      <w:r>
        <w:rPr>
          <w:color w:val="000000"/>
        </w:rPr>
        <w:t xml:space="preserve">, Советский район.</w:t>
      </w:r>
    </w:p>
    <w:p>
      <w:pPr>
        <w:tabs>
          <w:tab w:val="left" w:pos="1080" w:leader="none"/>
          <w:tab w:val="left" w:pos="1260" w:leader="none"/>
        </w:tabs>
        <w:spacing w:line="276" w:lineRule="auto"/>
        <w:ind w:firstLine="709"/>
      </w:pPr>
      <w:r>
        <w:rPr>
          <w:color w:val="000000"/>
        </w:rPr>
        <w:t xml:space="preserve">Приказом Департамента здравоохранения Ханты-Мансийского</w:t>
      </w:r>
      <w:r>
        <w:rPr>
          <w:color w:val="000000"/>
        </w:rPr>
        <w:t xml:space="preserve"> автономного округа – Югры от 24.12.2025 № 07-П-1868 «Об организации медицинского освидетельствования на состояние опьянения (алкогольного, наркотического и иного токсического) на территории Ханты-Мансийского автономного округа – Югры», которым утверждены:</w:t>
      </w:r>
    </w:p>
    <w:p>
      <w:pPr>
        <w:tabs>
          <w:tab w:val="left" w:pos="1080" w:leader="none"/>
          <w:tab w:val="left" w:pos="1260" w:leader="none"/>
        </w:tabs>
        <w:spacing w:line="276" w:lineRule="auto"/>
        <w:ind w:firstLine="709"/>
      </w:pPr>
      <w:r>
        <w:rPr>
          <w:color w:val="000000"/>
        </w:rPr>
        <w:t xml:space="preserve">перечень меди</w:t>
      </w:r>
      <w:r>
        <w:rPr>
          <w:color w:val="000000"/>
        </w:rPr>
        <w:t xml:space="preserve">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Ханты-Мансийского автономного округа – Югры;</w:t>
      </w:r>
    </w:p>
    <w:p>
      <w:pPr>
        <w:tabs>
          <w:tab w:val="left" w:pos="1080" w:leader="none"/>
          <w:tab w:val="left" w:pos="1260" w:leader="none"/>
        </w:tabs>
        <w:spacing w:line="276" w:lineRule="auto"/>
        <w:ind w:firstLine="709"/>
      </w:pPr>
      <w:r>
        <w:rPr>
          <w:color w:val="000000"/>
        </w:rPr>
        <w:t xml:space="preserve">схема маршрутизации биологического материала на химико-токсикологическое исследование по определению алкоголя, наркотических средств, психотропных и других токсических веществ, вызывающих опьянение (интоксикацию), и их метаболитов;</w:t>
      </w:r>
    </w:p>
    <w:p>
      <w:pPr>
        <w:tabs>
          <w:tab w:val="left" w:pos="1080" w:leader="none"/>
          <w:tab w:val="left" w:pos="1260" w:leader="none"/>
        </w:tabs>
        <w:spacing w:line="276" w:lineRule="auto"/>
        <w:ind w:firstLine="709"/>
      </w:pPr>
      <w:r>
        <w:rPr>
          <w:color w:val="000000"/>
        </w:rPr>
        <w:t xml:space="preserve">рекомендации по организации работы</w:t>
      </w:r>
      <w:r>
        <w:rPr>
          <w:color w:val="000000"/>
        </w:rPr>
        <w:t xml:space="preserve"> по отбору, транспортировке и хранению биологических объектов для проведения химико-токсикологических исследований на наличие алкоголя, наркотических средств, психотропных и других токсических веществ, вызывающих опьянение (интоксикацию), и их метаболитов.</w:t>
      </w:r>
    </w:p>
    <w:p>
      <w:pPr>
        <w:tabs>
          <w:tab w:val="left" w:pos="1080" w:leader="none"/>
          <w:tab w:val="left" w:pos="1260" w:leader="none"/>
        </w:tabs>
        <w:spacing w:line="276" w:lineRule="auto"/>
        <w:ind w:firstLine="709"/>
      </w:pPr>
      <w:r>
        <w:rPr>
          <w:color w:val="000000"/>
        </w:rPr>
        <w:t xml:space="preserve">Медицинские освидетельствования на состояние опьянения проводятся во всех пяти психоневрологических больница</w:t>
      </w:r>
      <w:r>
        <w:rPr>
          <w:color w:val="000000"/>
        </w:rPr>
        <w:t xml:space="preserve">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p>
    <w:p>
      <w:pPr>
        <w:tabs>
          <w:tab w:val="left" w:pos="1080" w:leader="none"/>
          <w:tab w:val="left" w:pos="1260" w:leader="none"/>
        </w:tabs>
        <w:spacing w:line="276" w:lineRule="auto"/>
        <w:ind w:firstLine="709"/>
      </w:pPr>
      <w:r>
        <w:rPr>
          <w:color w:val="000000"/>
        </w:rPr>
        <w:t xml:space="preserve">Между шестью специализированными медицинскими организациями, оказывающими наркологическую помощь (бюджетными учреждениям</w:t>
      </w:r>
      <w:r>
        <w:rPr>
          <w:color w:val="000000"/>
        </w:rPr>
        <w:t xml:space="preserve">и Ханты-Мансийского автономного округа – Югры «Ханты-Мансийская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психоневрологическая больница», </w:t>
      </w:r>
      <w:r>
        <w:rPr>
          <w:color w:val="000000"/>
        </w:rPr>
        <w:t xml:space="preserve">«Психоневрологическая больница имени Святой </w:t>
      </w:r>
      <w:r>
        <w:rPr>
          <w:color w:val="000000"/>
        </w:rPr>
        <w:t xml:space="preserve">Преподобномученицы</w:t>
      </w:r>
      <w:r>
        <w:rPr>
          <w:color w:val="000000"/>
        </w:rPr>
        <w:t xml:space="preserve"> Елизаветы» и казенным учреждением Ханты-Мансийского автономного округа – Югры «Лемпинский наркологический реабилитационный </w:t>
      </w:r>
      <w:r>
        <w:rPr>
          <w:color w:val="000000"/>
        </w:rPr>
        <w:t xml:space="preserve">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w:t>
      </w:r>
      <w:r>
        <w:rPr>
          <w:color w:val="000000"/>
        </w:rPr>
        <w:t xml:space="preserve">ресоциализацию</w:t>
      </w:r>
      <w:r>
        <w:rPr>
          <w:color w:val="000000"/>
        </w:rPr>
        <w:t xml:space="preserve"> лиц, страдающих наркологическими расстройствами.</w:t>
      </w:r>
    </w:p>
    <w:p>
      <w:pPr>
        <w:spacing w:line="276" w:lineRule="auto"/>
        <w:ind w:firstLine="709"/>
      </w:pPr>
      <w:r>
        <w:rPr>
          <w:color w:val="000000"/>
        </w:rPr>
        <w:t xml:space="preserve">Комплексные судебно-психиатрические экспертизы на наличие нарколог</w:t>
      </w:r>
      <w:r>
        <w:rPr>
          <w:color w:val="000000"/>
        </w:rPr>
        <w:t xml:space="preserve">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pPr>
        <w:spacing w:line="276" w:lineRule="auto"/>
        <w:ind w:firstLine="709"/>
      </w:pPr>
      <w:r>
        <w:rPr>
          <w:color w:val="000000"/>
        </w:rPr>
        <w:t xml:space="preserve">Организационно-методическое руководство</w:t>
      </w:r>
      <w:r>
        <w:rPr>
          <w:color w:val="000000"/>
        </w:rPr>
        <w:t xml:space="preserve">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pPr>
        <w:spacing w:line="276" w:lineRule="auto"/>
        <w:ind w:firstLine="709"/>
        <w:rPr>
          <w:b/>
          <w:bCs/>
          <w:u w:val="single"/>
        </w:rPr>
      </w:pPr>
      <w:r>
        <w:rPr>
          <w:b/>
          <w:bCs/>
          <w:color w:val="000000"/>
          <w:u w:val="single"/>
        </w:rPr>
        <w:t xml:space="preserve">Региональный уровень (третий уровень)</w:t>
      </w:r>
      <w:r>
        <w:rPr>
          <w:b/>
          <w:bCs/>
          <w:u w:val="single"/>
        </w:rPr>
      </w:r>
    </w:p>
    <w:p>
      <w:pPr>
        <w:spacing w:line="276" w:lineRule="auto"/>
        <w:ind w:firstLine="709"/>
      </w:pPr>
      <w:r>
        <w:rPr>
          <w:color w:val="000000"/>
        </w:rPr>
        <w:t xml:space="preserve">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pPr>
        <w:spacing w:line="276" w:lineRule="auto"/>
        <w:ind w:firstLine="709"/>
      </w:pPr>
      <w:r>
        <w:rPr>
          <w:color w:val="000000"/>
        </w:rPr>
        <w:t xml:space="preserve">Головным уч</w:t>
      </w:r>
      <w:r>
        <w:rPr>
          <w:color w:val="000000"/>
        </w:rPr>
        <w:t xml:space="preserve">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w:t>
      </w:r>
      <w:r>
        <w:rPr>
          <w:color w:val="000000"/>
        </w:rPr>
        <w:t xml:space="preserve">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p>
    <w:p>
      <w:pPr>
        <w:spacing w:line="276" w:lineRule="auto"/>
        <w:ind w:firstLine="709"/>
      </w:pPr>
      <w:r>
        <w:rPr>
          <w:color w:val="000000"/>
        </w:rP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pPr>
        <w:spacing w:line="276" w:lineRule="auto"/>
        <w:ind w:firstLine="709"/>
      </w:pPr>
      <w:r>
        <w:rPr>
          <w:color w:val="000000"/>
        </w:rPr>
        <w:t xml:space="preserve">Кроме того, на территории автономного округа реализована трехуровневая система химико-токсикологического исследования </w:t>
      </w:r>
      <w:r>
        <w:rPr>
          <w:color w:val="000000"/>
        </w:rPr>
        <w:t xml:space="preserve">биологических объектов у граждан на предмет употребления наркотических средств и психотропных веществ, либо потенциально опасных веществ.</w:t>
      </w:r>
    </w:p>
    <w:p>
      <w:pPr>
        <w:spacing w:line="276" w:lineRule="auto"/>
        <w:ind w:firstLine="709"/>
      </w:pPr>
      <w:r>
        <w:rPr>
          <w:color w:val="000000"/>
        </w:rPr>
        <w:t xml:space="preserve">В соответствии с приказом Департамента здравоохранения </w:t>
      </w:r>
      <w:r>
        <w:rPr>
          <w:color w:val="000000"/>
        </w:rPr>
        <w:br/>
        <w:t xml:space="preserve">Ханты-Мансийского автономного округа – Югры от 29.12.2017 № 1502 </w:t>
      </w:r>
      <w:r>
        <w:rPr>
          <w:color w:val="000000"/>
        </w:rPr>
        <w:br/>
        <w:t xml:space="preserve">«О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pPr>
        <w:spacing w:line="276" w:lineRule="auto"/>
        <w:ind w:firstLine="709"/>
      </w:pPr>
      <w:r>
        <w:rPr>
          <w:color w:val="000000"/>
        </w:rPr>
        <w:t xml:space="preserve">Реализация данной модели позволяет осуществлять этапы проведен</w:t>
      </w:r>
      <w:r>
        <w:rPr>
          <w:color w:val="000000"/>
        </w:rP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pPr>
        <w:spacing w:line="276" w:lineRule="auto"/>
        <w:ind w:firstLine="709"/>
      </w:pPr>
      <w:r>
        <w:rPr>
          <w:color w:val="000000"/>
        </w:rPr>
        <w:t xml:space="preserve">Таким образом, на территории авто</w:t>
      </w:r>
      <w:r>
        <w:rPr>
          <w:color w:val="000000"/>
        </w:rP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rPr>
        <w:t xml:space="preserve">климато</w:t>
      </w:r>
      <w:r>
        <w:rPr>
          <w:color w:val="000000"/>
        </w:rPr>
        <w:t xml:space="preserve">-географических, транспортных, </w:t>
      </w:r>
      <w:r>
        <w:rPr>
          <w:color w:val="000000"/>
        </w:rPr>
        <w:br/>
        <w:t xml:space="preserve">этно-</w:t>
      </w:r>
      <w:r>
        <w:rPr>
          <w:color w:val="000000"/>
        </w:rPr>
        <w:t xml:space="preserve">культуральных</w:t>
      </w:r>
      <w:r>
        <w:rPr>
          <w:color w:val="000000"/>
        </w:rPr>
        <w:t xml:space="preserve"> особенностей региона. Соблюдаются принципы </w:t>
      </w:r>
      <w:r>
        <w:rPr>
          <w:color w:val="000000"/>
        </w:rPr>
        <w:t xml:space="preserve">этапности</w:t>
      </w:r>
      <w:r>
        <w:rPr>
          <w:color w:val="000000"/>
        </w:rPr>
        <w:t xml:space="preserve"> проведения, непрерывности, комплексности лечебно-реабилитационных мероприятий. Схема маршрутизации пациентов выстро</w:t>
      </w:r>
      <w:r>
        <w:rPr>
          <w:color w:val="000000"/>
        </w:rPr>
        <w:t xml:space="preserve">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pPr>
        <w:spacing w:line="276" w:lineRule="auto"/>
        <w:ind w:firstLine="709"/>
      </w:pPr>
      <w:r>
        <w:rPr>
          <w:color w:val="000000"/>
        </w:rPr>
        <w:t xml:space="preserve">В автономном округе медицинская реабилитация наркологических больных осуществляется в стационарных (на наркологических реабилитационных койках круглосуточного стационара) и в амбулаторных условиях.</w:t>
      </w:r>
    </w:p>
    <w:p>
      <w:pPr>
        <w:spacing w:line="276" w:lineRule="auto"/>
        <w:ind w:firstLine="709"/>
      </w:pPr>
      <w:r>
        <w:rPr>
          <w:color w:val="000000"/>
        </w:rP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pPr>
        <w:spacing w:line="276" w:lineRule="auto"/>
        <w:ind w:firstLine="709"/>
      </w:pPr>
      <w:r>
        <w:rPr>
          <w:color w:val="00000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pPr>
        <w:spacing w:line="276" w:lineRule="auto"/>
        <w:ind w:firstLine="709"/>
      </w:pPr>
      <w:r>
        <w:rPr>
          <w:color w:val="000000"/>
        </w:rPr>
        <w:t xml:space="preserve">Выстро</w:t>
      </w:r>
      <w:r>
        <w:rPr>
          <w:color w:val="000000"/>
        </w:rP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pPr>
        <w:pStyle w:val="1624"/>
        <w:spacing w:after="0" w:line="276" w:lineRule="auto"/>
        <w:ind w:firstLine="709"/>
        <w:jc w:val="both"/>
        <w:rPr>
          <w:b/>
          <w:sz w:val="28"/>
          <w:szCs w:val="28"/>
        </w:rPr>
      </w:pPr>
      <w:r>
        <w:rPr>
          <w:b/>
          <w:sz w:val="28"/>
          <w:szCs w:val="28"/>
        </w:rPr>
      </w:r>
      <w:r>
        <w:rPr>
          <w:b/>
          <w:sz w:val="28"/>
          <w:szCs w:val="28"/>
        </w:rPr>
      </w:r>
    </w:p>
    <w:p>
      <w:pPr>
        <w:spacing w:line="276" w:lineRule="auto"/>
        <w:ind w:firstLine="709"/>
        <w:outlineLvl w:val="0"/>
        <w:rPr>
          <w:b/>
          <w:i/>
          <w:highlight w:val="white"/>
        </w:rPr>
      </w:pPr>
      <w:r>
        <w:rPr>
          <w:b/>
          <w:i/>
          <w:highlight w:val="white"/>
        </w:rPr>
        <w:t xml:space="preserve">Анализ, оценка работы по мотивации наркопотребителей к прохождению лечения от наркозависимости, реабилитации и ресоциализации</w:t>
      </w:r>
      <w:r>
        <w:rPr>
          <w:b/>
          <w:i/>
          <w:highlight w:val="white"/>
        </w:rPr>
      </w:r>
    </w:p>
    <w:p>
      <w:pPr>
        <w:spacing w:line="276" w:lineRule="auto"/>
        <w:ind w:firstLine="709"/>
        <w:rPr>
          <w:color w:val="000000"/>
        </w:rPr>
      </w:pPr>
      <w:r>
        <w:t xml:space="preserve">В автономном округе </w:t>
      </w:r>
      <w:r>
        <w:rPr>
          <w:i/>
        </w:rPr>
        <w:t xml:space="preserve">медицинскими организациями</w:t>
      </w:r>
      <w:r>
        <w:t xml:space="preserve">, оказывающими наркологическую помощь, </w:t>
      </w:r>
      <w:r>
        <w:rPr>
          <w:color w:val="000000"/>
        </w:rPr>
        <w:t xml:space="preserve">оказывается специализированная медицинская помощь по профилю «психиатрия-наркология» всем гражданам на общих основания</w:t>
      </w:r>
      <w:r>
        <w:rPr>
          <w:color w:val="000000"/>
        </w:rPr>
        <w:t xml:space="preserve">х в соответствии с федеральными законами от 21.11.2011 № 323-ФЗ «Об основах охраны здоровья граждан в Российской Федерации» и от 02.07.1992 № 3185-1 «О психиатрической помощи и гарантиях прав граждан при её оказании», приказом Минздрава России от 30.12.201</w:t>
      </w:r>
      <w:r>
        <w:rPr>
          <w:color w:val="000000"/>
        </w:rP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color w:val="000000"/>
        </w:rPr>
      </w:r>
    </w:p>
    <w:p>
      <w:pPr>
        <w:tabs>
          <w:tab w:val="left" w:pos="6646" w:leader="none"/>
        </w:tabs>
        <w:spacing w:line="276" w:lineRule="auto"/>
        <w:ind w:firstLine="709"/>
        <w:rPr>
          <w:sz w:val="24"/>
          <w:szCs w:val="24"/>
        </w:rPr>
      </w:pPr>
      <w:r>
        <w:rPr>
          <w:color w:val="000000"/>
        </w:rP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r>
        <w:rPr>
          <w:sz w:val="24"/>
          <w:szCs w:val="24"/>
        </w:rPr>
      </w:r>
    </w:p>
    <w:p>
      <w:pPr>
        <w:tabs>
          <w:tab w:val="left" w:pos="6646" w:leader="none"/>
        </w:tabs>
        <w:spacing w:line="276" w:lineRule="auto"/>
        <w:ind w:firstLine="709"/>
        <w:rPr>
          <w:sz w:val="24"/>
          <w:szCs w:val="24"/>
        </w:rPr>
      </w:pPr>
      <w:r>
        <w:rPr>
          <w:color w:val="000000"/>
        </w:rPr>
        <w:t xml:space="preserve">Медицинскими организациями автономного округа ведется работа</w:t>
      </w:r>
      <w:r>
        <w:rPr>
          <w:color w:val="000000"/>
        </w:rPr>
        <w:br/>
        <w:t xml:space="preserve"> по медицинской реабилитации наркозависимых лиц. </w:t>
      </w:r>
      <w:r>
        <w:rPr>
          <w:sz w:val="24"/>
          <w:szCs w:val="24"/>
        </w:rPr>
      </w:r>
    </w:p>
    <w:p>
      <w:pPr>
        <w:tabs>
          <w:tab w:val="left" w:pos="6646" w:leader="none"/>
        </w:tabs>
        <w:spacing w:line="276" w:lineRule="auto"/>
        <w:ind w:firstLine="709"/>
        <w:rPr>
          <w:sz w:val="24"/>
          <w:szCs w:val="24"/>
        </w:rPr>
      </w:pPr>
      <w:r>
        <w:rPr>
          <w:color w:val="000000"/>
        </w:rPr>
        <w:t xml:space="preserve">Количество реабилитационных коек в автономном округе в 2025 году составило 103, показатель сохранился на уровне предыдущего года (количество реабилитационных наркологических коек составляло в 2022 году – 111, с 2023 – 103 реабилитационных койки).</w:t>
      </w:r>
      <w:r>
        <w:rPr>
          <w:sz w:val="24"/>
          <w:szCs w:val="24"/>
        </w:rPr>
      </w:r>
    </w:p>
    <w:p>
      <w:pPr>
        <w:tabs>
          <w:tab w:val="left" w:pos="6646" w:leader="none"/>
        </w:tabs>
        <w:spacing w:line="276" w:lineRule="auto"/>
        <w:ind w:firstLine="709"/>
        <w:rPr>
          <w:sz w:val="24"/>
          <w:szCs w:val="24"/>
        </w:rPr>
      </w:pPr>
      <w:r>
        <w:rPr>
          <w:color w:val="000000"/>
        </w:rPr>
        <w:t xml:space="preserve">Услуги по длительной стационарной медицинской реабилитации в автономном округе оказываются в казенном учреждении Ханты-Мансийского автономного округа – Югры «Лемпинский наркологический реабилитационный центр», имеющем 50 коек. </w:t>
      </w:r>
      <w:r>
        <w:rPr>
          <w:sz w:val="24"/>
          <w:szCs w:val="24"/>
        </w:rPr>
      </w:r>
    </w:p>
    <w:p>
      <w:pPr>
        <w:tabs>
          <w:tab w:val="left" w:pos="6646" w:leader="none"/>
        </w:tabs>
        <w:spacing w:line="276" w:lineRule="auto"/>
        <w:ind w:firstLine="709"/>
        <w:rPr>
          <w:sz w:val="24"/>
          <w:szCs w:val="24"/>
        </w:rPr>
      </w:pPr>
      <w:r>
        <w:rPr>
          <w:color w:val="000000"/>
        </w:rPr>
        <w:t xml:space="preserve">Кроме того, отделения с реабилитационными койками организованы в </w:t>
      </w:r>
      <w:r>
        <w:rPr>
          <w:color w:val="000000"/>
        </w:rPr>
        <w:t xml:space="preserve">Урайском</w:t>
      </w:r>
      <w:r>
        <w:rPr>
          <w:color w:val="000000"/>
        </w:rPr>
        <w:t xml:space="preserve"> филиале Советской психоневрологической больнице (3 койки), в </w:t>
      </w:r>
      <w:r>
        <w:rPr>
          <w:color w:val="000000"/>
        </w:rPr>
        <w:t xml:space="preserve">Сургутской</w:t>
      </w:r>
      <w:r>
        <w:rPr>
          <w:color w:val="000000"/>
        </w:rPr>
        <w:t xml:space="preserve"> клинической психоневрологической больнице (25 коек), </w:t>
      </w:r>
      <w:r>
        <w:rPr>
          <w:color w:val="000000"/>
        </w:rPr>
        <w:t xml:space="preserve">Нижневартовской</w:t>
      </w:r>
      <w:r>
        <w:rPr>
          <w:color w:val="000000"/>
        </w:rPr>
        <w:t xml:space="preserve"> психоневрологической больнице (25 коек). </w:t>
      </w:r>
      <w:r>
        <w:rPr>
          <w:sz w:val="24"/>
          <w:szCs w:val="24"/>
        </w:rPr>
      </w:r>
    </w:p>
    <w:p>
      <w:pPr>
        <w:spacing w:line="276" w:lineRule="auto"/>
        <w:ind w:firstLine="709"/>
        <w:rPr>
          <w:sz w:val="24"/>
          <w:szCs w:val="24"/>
        </w:rPr>
      </w:pPr>
      <w:r>
        <w:rPr>
          <w:color w:val="000000"/>
        </w:rPr>
        <w:t xml:space="preserve">Из чи</w:t>
      </w:r>
      <w:r>
        <w:rPr>
          <w:color w:val="000000"/>
        </w:rPr>
        <w:t xml:space="preserve">сла больных наркоманией, состоящих под наблюдением на конец 2025 года, находятся в ремиссии: от 1 года и более – 479 пациентов или 35,0 на 100 больных среднегодового контингента (2024 год – 486 пациентов или 34,5 на 100 больных среднегодового контингента).</w:t>
      </w:r>
      <w:r>
        <w:rPr>
          <w:sz w:val="24"/>
          <w:szCs w:val="24"/>
        </w:rPr>
      </w:r>
    </w:p>
    <w:p>
      <w:pPr>
        <w:spacing w:line="276" w:lineRule="auto"/>
        <w:ind w:firstLine="709"/>
        <w:rPr>
          <w:sz w:val="24"/>
          <w:szCs w:val="24"/>
        </w:rPr>
      </w:pPr>
      <w:r>
        <w:rPr>
          <w:color w:val="000000"/>
        </w:rPr>
        <w:t xml:space="preserve">В 2025 году в автономном округе на наркологических койках пролечено 672 человека с различными наркологическими расстройствами, связанными с употреблением нар</w:t>
      </w:r>
      <w:r>
        <w:rPr>
          <w:color w:val="000000"/>
        </w:rPr>
        <w:t xml:space="preserve">котических средств и психоактивных веществ, из их числа в программы стационарной реабилитации включены 68 пациентов (10,1% от числа пролеченных), при этом 33 пациента (48,5% из числа включённых) успешно окончили курс стационарной медицинской реабилитации. </w:t>
      </w:r>
      <w:r>
        <w:rPr>
          <w:sz w:val="24"/>
          <w:szCs w:val="24"/>
        </w:rPr>
      </w:r>
    </w:p>
    <w:p>
      <w:pPr>
        <w:spacing w:line="276" w:lineRule="auto"/>
        <w:ind w:firstLine="709"/>
        <w:rPr>
          <w:sz w:val="24"/>
          <w:szCs w:val="24"/>
        </w:rPr>
      </w:pPr>
      <w:r>
        <w:rPr>
          <w:color w:val="000000"/>
        </w:rPr>
        <w:t xml:space="preserve">В 2024 году в медицинских организациях пролечено 636 человек с различными наркологическими расстройствами, связанными с употреблением наркотических средств.</w:t>
      </w:r>
      <w:r>
        <w:rPr>
          <w:sz w:val="24"/>
          <w:szCs w:val="24"/>
        </w:rPr>
      </w:r>
    </w:p>
    <w:p>
      <w:pPr>
        <w:spacing w:line="276" w:lineRule="auto"/>
        <w:ind w:firstLine="709"/>
        <w:rPr>
          <w:sz w:val="24"/>
          <w:szCs w:val="24"/>
        </w:rPr>
      </w:pPr>
      <w:r>
        <w:rPr>
          <w:color w:val="000000"/>
        </w:rPr>
        <w:t xml:space="preserve">Из 467 пролеченных пациентов с синдромом зависимости от наркотиков и</w:t>
      </w:r>
      <w:r>
        <w:rPr>
          <w:color w:val="000000"/>
        </w:rPr>
        <w:t xml:space="preserve"> перенесших психозы вследствие употребления наркотиков, в программы стационарной реабилитации включены 85 пациентов (18,2% от числа пролеченных), при этом 40 пациентов (47,1% из числа включённых) успешно окончили курс стационарной медицинской реабилитации.</w:t>
      </w:r>
      <w:r>
        <w:rPr>
          <w:sz w:val="24"/>
          <w:szCs w:val="24"/>
        </w:rPr>
      </w:r>
    </w:p>
    <w:p>
      <w:pPr>
        <w:spacing w:line="276" w:lineRule="auto"/>
        <w:ind w:firstLine="709"/>
        <w:rPr>
          <w:sz w:val="24"/>
          <w:szCs w:val="24"/>
        </w:rPr>
      </w:pPr>
      <w:r>
        <w:rPr>
          <w:color w:val="000000"/>
        </w:rPr>
        <w:t xml:space="preserve">В 2025 году из числа лиц, находившихся под наблюдением по поводу потребления наркотических средств (</w:t>
      </w:r>
      <w:r>
        <w:rPr>
          <w:color w:val="000000"/>
        </w:rPr>
        <w:t xml:space="preserve">абс</w:t>
      </w:r>
      <w:r>
        <w:rPr>
          <w:color w:val="000000"/>
        </w:rPr>
        <w:t xml:space="preserve">. 2 383), 4,9% больных проходили амбулаторную реабилитацию (</w:t>
      </w:r>
      <w:r>
        <w:rPr>
          <w:color w:val="000000"/>
        </w:rPr>
        <w:t xml:space="preserve">абс</w:t>
      </w:r>
      <w:r>
        <w:rPr>
          <w:color w:val="000000"/>
        </w:rPr>
        <w:t xml:space="preserve">. 116), из них успешно завершили реабилитационные программы (</w:t>
      </w:r>
      <w:r>
        <w:rPr>
          <w:color w:val="000000"/>
        </w:rPr>
        <w:t xml:space="preserve">абс</w:t>
      </w:r>
      <w:r>
        <w:rPr>
          <w:color w:val="000000"/>
        </w:rPr>
        <w:t xml:space="preserve">. 84 чел., 72,4%). В 2024 году 3,4% из числа лиц с синдромом зависимости от наркотических средств (</w:t>
      </w:r>
      <w:r>
        <w:rPr>
          <w:color w:val="000000"/>
        </w:rPr>
        <w:t xml:space="preserve">абс</w:t>
      </w:r>
      <w:r>
        <w:rPr>
          <w:color w:val="000000"/>
        </w:rPr>
        <w:t xml:space="preserve">. 1 634) были включены в амбулаторные реабилитационные программы (</w:t>
      </w:r>
      <w:r>
        <w:rPr>
          <w:color w:val="000000"/>
        </w:rPr>
        <w:t xml:space="preserve">абс</w:t>
      </w:r>
      <w:r>
        <w:rPr>
          <w:color w:val="000000"/>
        </w:rPr>
        <w:t xml:space="preserve">. 56), из них 67,9% успешно завершили их (</w:t>
      </w:r>
      <w:r>
        <w:rPr>
          <w:color w:val="000000"/>
        </w:rPr>
        <w:t xml:space="preserve">абс</w:t>
      </w:r>
      <w:r>
        <w:rPr>
          <w:color w:val="000000"/>
        </w:rPr>
        <w:t xml:space="preserve">. 38 чел.).</w:t>
      </w:r>
      <w:r>
        <w:rPr>
          <w:sz w:val="24"/>
          <w:szCs w:val="24"/>
        </w:rPr>
      </w:r>
    </w:p>
    <w:p>
      <w:pPr>
        <w:tabs>
          <w:tab w:val="left" w:pos="6646" w:leader="none"/>
        </w:tabs>
        <w:spacing w:line="276" w:lineRule="auto"/>
        <w:ind w:firstLine="709"/>
        <w:rPr>
          <w:sz w:val="24"/>
          <w:szCs w:val="24"/>
        </w:rPr>
      </w:pPr>
      <w:r>
        <w:rPr>
          <w:color w:val="000000"/>
        </w:rPr>
        <w:t xml:space="preserve">После прохожден</w:t>
      </w:r>
      <w:r>
        <w:rPr>
          <w:color w:val="000000"/>
        </w:rPr>
        <w:t xml:space="preserve">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Ханты-М</w:t>
      </w:r>
      <w:r>
        <w:rPr>
          <w:color w:val="000000"/>
        </w:rPr>
        <w:t xml:space="preserve">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r>
        <w:rPr>
          <w:sz w:val="24"/>
          <w:szCs w:val="24"/>
        </w:rPr>
      </w:r>
    </w:p>
    <w:p>
      <w:pPr>
        <w:tabs>
          <w:tab w:val="left" w:pos="6646" w:leader="none"/>
        </w:tabs>
        <w:spacing w:line="276" w:lineRule="auto"/>
        <w:ind w:firstLine="709"/>
        <w:rPr>
          <w:sz w:val="24"/>
          <w:szCs w:val="24"/>
        </w:rPr>
      </w:pPr>
      <w:r>
        <w:rPr>
          <w:color w:val="000000"/>
        </w:rPr>
        <w:t xml:space="preserve">Для этих </w:t>
      </w:r>
      <w:r>
        <w:rPr>
          <w:color w:val="000000"/>
        </w:rPr>
        <w:t xml:space="preserve">целей на территории автономного округа применяется Регламент взаимодействия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w:t>
      </w:r>
      <w:r>
        <w:rPr>
          <w:color w:val="000000"/>
        </w:rPr>
        <w:t xml:space="preserve">утвержденный совместным приказом Департамента здравоохранения Ханты-Мансийского автономного округ</w:t>
      </w:r>
      <w:r>
        <w:rPr>
          <w:color w:val="000000"/>
        </w:rPr>
        <w:t xml:space="preserve">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 05.02.2024 </w:t>
      </w:r>
      <w:r>
        <w:rPr>
          <w:color w:val="000000"/>
        </w:rPr>
        <w:br/>
        <w:t xml:space="preserve">№ 182/224р/1</w:t>
      </w:r>
      <w:r>
        <w:rPr>
          <w:color w:val="000000"/>
        </w:rPr>
        <w:t xml:space="preserve">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r>
        <w:rPr>
          <w:sz w:val="24"/>
          <w:szCs w:val="24"/>
        </w:rPr>
      </w:r>
    </w:p>
    <w:p>
      <w:pPr>
        <w:spacing w:line="276" w:lineRule="auto"/>
        <w:ind w:firstLine="709"/>
        <w:rPr>
          <w:sz w:val="24"/>
          <w:szCs w:val="24"/>
        </w:rPr>
      </w:pPr>
      <w:r>
        <w:rPr>
          <w:color w:val="000000"/>
        </w:rPr>
        <w:t xml:space="preserve">На территории автономного округа условно-осужденные лица, страдающие наркологиче</w:t>
      </w:r>
      <w:r>
        <w:rPr>
          <w:color w:val="000000"/>
        </w:rP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rPr>
          <w:sz w:val="24"/>
          <w:szCs w:val="24"/>
        </w:rPr>
      </w:r>
    </w:p>
    <w:p>
      <w:pPr>
        <w:spacing w:line="276" w:lineRule="auto"/>
        <w:ind w:firstLine="709"/>
        <w:rPr>
          <w:sz w:val="24"/>
          <w:szCs w:val="24"/>
        </w:rPr>
      </w:pPr>
      <w:r>
        <w:rPr>
          <w:color w:val="000000"/>
        </w:rPr>
        <w:t xml:space="preserve">Так</w:t>
      </w:r>
      <w:r>
        <w:rPr>
          <w:color w:val="000000"/>
        </w:rPr>
        <w:t xml:space="preserve">, в течение 2025 года обратились в связи с решением суда о назначении лечения 76 человек с синдромом зависимости от наркотических средств и 10 - в связи употреблением наркотических средств или психотропных веществ без назначения врача. Успешно закончено ле</w:t>
      </w:r>
      <w:r>
        <w:rPr>
          <w:color w:val="000000"/>
        </w:rPr>
        <w:t xml:space="preserve">чение у 21 человека с синдромом зависимости от наркотических средств из 63 завершивших его (33,3%) и 2 человека в связи употреблением наркотических средств или психотропных веществ без назначения врача из 3 завершивших его (66,7%). Прервали лечение и отказ</w:t>
      </w:r>
      <w:r>
        <w:rPr>
          <w:color w:val="000000"/>
        </w:rPr>
        <w:t xml:space="preserve">ались его проходить 41 человек с синдромом зависимости от наркотических средств (65,1%) и 1 человек в связи употреблением наркотических средств или психотропных веществ без назначения врача (33,3%). Продолжают исполнение решения суда 41 человек с синдромом</w:t>
      </w:r>
      <w:r>
        <w:rPr>
          <w:color w:val="000000"/>
        </w:rPr>
        <w:t xml:space="preserve"> зависимости от наркотических средств и 7 человек в связи употреблением наркотических средств или психотропных веществ без назначения врача. Кроме того, 53 пациента прошли обследование по решению суда, но которым не был установлен наркологический диагноз. </w:t>
      </w:r>
      <w:r>
        <w:rPr>
          <w:sz w:val="24"/>
          <w:szCs w:val="24"/>
        </w:rPr>
      </w:r>
    </w:p>
    <w:p>
      <w:pPr>
        <w:spacing w:line="276" w:lineRule="auto"/>
        <w:ind w:firstLine="709"/>
        <w:rPr>
          <w:sz w:val="24"/>
          <w:szCs w:val="24"/>
        </w:rPr>
      </w:pPr>
      <w:r>
        <w:rPr>
          <w:color w:val="000000"/>
        </w:rPr>
        <w:t xml:space="preserve">В 2024 году обратились в связи с решением суда о назначении обязательного или аль</w:t>
      </w:r>
      <w:r>
        <w:rPr>
          <w:color w:val="000000"/>
        </w:rPr>
        <w:t xml:space="preserve">тернативного лечения 87 человек с синдромом зависимости от наркотиков. Успешно закончивших такое лечение – 83 человека или 78,3%, от числа прекративших обязательное или альтернативное лечение – 106 чел. Прервавших лечение и отказавшихся его проходить - 23 </w:t>
      </w:r>
      <w:r>
        <w:rPr>
          <w:color w:val="000000"/>
        </w:rPr>
        <w:t xml:space="preserve">человека (21,7% от количества окончивших лечение). Продолжили лечение на конец 2024 года – 28 человек.</w:t>
      </w:r>
      <w:r>
        <w:rPr>
          <w:sz w:val="24"/>
          <w:szCs w:val="24"/>
        </w:rPr>
      </w:r>
    </w:p>
    <w:p>
      <w:pPr>
        <w:spacing w:line="276" w:lineRule="auto"/>
        <w:ind w:firstLine="709"/>
        <w:rPr>
          <w:sz w:val="24"/>
          <w:szCs w:val="24"/>
        </w:rPr>
      </w:pPr>
      <w:r>
        <w:rPr>
          <w:color w:val="000000"/>
        </w:rPr>
        <w:t xml:space="preserve">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r>
        <w:rPr>
          <w:sz w:val="24"/>
          <w:szCs w:val="24"/>
        </w:rPr>
      </w:r>
    </w:p>
    <w:p>
      <w:pPr>
        <w:spacing w:line="276" w:lineRule="auto"/>
        <w:ind w:firstLine="709"/>
        <w:rPr>
          <w:bCs/>
          <w:highlight w:val="white"/>
        </w:rPr>
      </w:pPr>
      <w:r>
        <w:rPr>
          <w:bCs/>
          <w:highlight w:val="white"/>
        </w:rPr>
        <w:t xml:space="preserve">Деятельность </w:t>
      </w:r>
      <w:r>
        <w:rPr>
          <w:color w:val="000000"/>
          <w:highlight w:val="white"/>
        </w:rPr>
        <w:t xml:space="preserve">по мотивации наркопотребителей к прохождению социальной реабилитации</w:t>
      </w:r>
      <w:r>
        <w:rPr>
          <w:bCs/>
          <w:highlight w:val="white"/>
        </w:rPr>
        <w:t xml:space="preserve"> </w:t>
      </w:r>
      <w:r>
        <w:rPr>
          <w:bCs/>
          <w:i/>
          <w:highlight w:val="white"/>
        </w:rPr>
        <w:t xml:space="preserve">в сфере социального обслуживания</w:t>
      </w:r>
      <w:r>
        <w:rPr>
          <w:bCs/>
          <w:highlight w:val="white"/>
        </w:rPr>
        <w:t xml:space="preserve"> Югры включает следующие мероприятия. Профильными учреждениями разработаны и реализуются комплексные планы, направленные на повышение мотивации наркопотребителей к прохождению социальной реабилитации с использованием следующих механизмов информирования:</w:t>
      </w:r>
      <w:r>
        <w:rPr>
          <w:bCs/>
          <w:highlight w:val="white"/>
        </w:rPr>
      </w:r>
    </w:p>
    <w:p>
      <w:pPr>
        <w:spacing w:line="276" w:lineRule="auto"/>
        <w:ind w:firstLine="709"/>
        <w:rPr>
          <w:bCs/>
          <w:highlight w:val="white"/>
        </w:rPr>
      </w:pPr>
      <w:r>
        <w:rPr>
          <w:bCs/>
          <w:highlight w:val="white"/>
        </w:rPr>
        <w:t xml:space="preserve">- максимальное использование </w:t>
      </w:r>
      <w:r>
        <w:rPr>
          <w:bCs/>
          <w:highlight w:val="white"/>
        </w:rPr>
        <w:t xml:space="preserve">интернет-ресурсов</w:t>
      </w:r>
      <w:r>
        <w:rPr>
          <w:bCs/>
          <w:highlight w:val="white"/>
        </w:rPr>
        <w:t xml:space="preserve">;</w:t>
      </w:r>
      <w:r>
        <w:rPr>
          <w:bCs/>
          <w:highlight w:val="white"/>
        </w:rPr>
      </w:r>
    </w:p>
    <w:p>
      <w:pPr>
        <w:spacing w:line="276" w:lineRule="auto"/>
        <w:ind w:firstLine="709"/>
        <w:rPr>
          <w:bCs/>
          <w:highlight w:val="white"/>
        </w:rPr>
      </w:pPr>
      <w:r>
        <w:rPr>
          <w:bCs/>
          <w:highlight w:val="white"/>
        </w:rPr>
        <w:t xml:space="preserve">- освещение проблемы наркомании и избавления от нее в средствах массовой информации, включая публичные теле-дискуссии и диспуты;</w:t>
      </w:r>
      <w:r>
        <w:rPr>
          <w:bCs/>
          <w:highlight w:val="white"/>
        </w:rPr>
      </w:r>
    </w:p>
    <w:p>
      <w:pPr>
        <w:spacing w:line="276" w:lineRule="auto"/>
        <w:ind w:firstLine="709"/>
        <w:rPr>
          <w:bCs/>
          <w:highlight w:val="white"/>
        </w:rPr>
      </w:pPr>
      <w:r>
        <w:rPr>
          <w:bCs/>
          <w:highlight w:val="white"/>
        </w:rPr>
        <w:t xml:space="preserve">- распространение информац</w:t>
      </w:r>
      <w:r>
        <w:rPr>
          <w:bCs/>
          <w:highlight w:val="white"/>
        </w:rPr>
        <w:t xml:space="preserve">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r>
        <w:rPr>
          <w:bCs/>
          <w:highlight w:val="white"/>
        </w:rPr>
      </w:r>
    </w:p>
    <w:p>
      <w:pPr>
        <w:spacing w:line="276" w:lineRule="auto"/>
        <w:ind w:firstLine="709"/>
        <w:rPr>
          <w:bCs/>
          <w:highlight w:val="white"/>
        </w:rPr>
      </w:pPr>
      <w:r>
        <w:rPr>
          <w:bCs/>
          <w:highlight w:val="white"/>
        </w:rPr>
        <w:t xml:space="preserve">- выпуск тематических памяток, буклетов, информационных листов;</w:t>
      </w:r>
      <w:r>
        <w:rPr>
          <w:bCs/>
          <w:highlight w:val="white"/>
        </w:rPr>
      </w:r>
    </w:p>
    <w:p>
      <w:pPr>
        <w:spacing w:line="276" w:lineRule="auto"/>
        <w:ind w:firstLine="709"/>
        <w:rPr>
          <w:bCs/>
          <w:highlight w:val="white"/>
        </w:rPr>
      </w:pPr>
      <w:r>
        <w:rPr>
          <w:bCs/>
          <w:highlight w:val="white"/>
        </w:rPr>
        <w:t xml:space="preserve">- консультирование в режиме онлайн на официальных сайтах учреждений социального обслуживания по вопросам прохождения</w:t>
      </w:r>
      <w:r>
        <w:rPr>
          <w:bCs/>
          <w:highlight w:val="white"/>
        </w:rPr>
        <w:br/>
        <w:t xml:space="preserve">курса реабилитации;</w:t>
      </w:r>
      <w:r>
        <w:rPr>
          <w:bCs/>
          <w:highlight w:val="white"/>
        </w:rPr>
      </w:r>
    </w:p>
    <w:p>
      <w:pPr>
        <w:spacing w:line="276" w:lineRule="auto"/>
        <w:ind w:firstLine="709"/>
        <w:rPr>
          <w:bCs/>
          <w:highlight w:val="white"/>
        </w:rPr>
      </w:pPr>
      <w:r>
        <w:rPr>
          <w:bCs/>
          <w:highlight w:val="white"/>
        </w:rPr>
        <w:t xml:space="preserve">- использование возможностей 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w:t>
      </w:r>
      <w:r>
        <w:rPr>
          <w:bCs/>
          <w:highlight w:val="white"/>
        </w:rPr>
      </w:r>
    </w:p>
    <w:p>
      <w:pPr>
        <w:spacing w:line="276" w:lineRule="auto"/>
        <w:ind w:firstLine="709"/>
        <w:rPr>
          <w:bCs/>
          <w:highlight w:val="white"/>
        </w:rPr>
      </w:pPr>
      <w:r>
        <w:rPr>
          <w:bCs/>
          <w:highlight w:val="white"/>
        </w:rPr>
        <w:t xml:space="preserve">Также, специалисты учреждений проводят встречи с больными, страдающими наркотической зависимостью, которые находятся </w:t>
      </w:r>
      <w:r>
        <w:rPr>
          <w:bCs/>
          <w:highlight w:val="white"/>
        </w:rPr>
        <w:br/>
        <w:t xml:space="preserve">на стационарном лечении в медицинских организациях автономного округа с целью мотивации на дальнейшую реабилитацию и </w:t>
      </w:r>
      <w:r>
        <w:rPr>
          <w:bCs/>
          <w:highlight w:val="white"/>
        </w:rPr>
        <w:t xml:space="preserve">ресоциализацию</w:t>
      </w:r>
      <w:r>
        <w:rPr>
          <w:bCs/>
          <w:highlight w:val="white"/>
        </w:rPr>
        <w:t xml:space="preserve">.</w:t>
      </w:r>
      <w:r>
        <w:rPr>
          <w:bCs/>
          <w:highlight w:val="white"/>
        </w:rPr>
      </w:r>
    </w:p>
    <w:p>
      <w:pPr>
        <w:tabs>
          <w:tab w:val="left" w:pos="851" w:leader="none"/>
          <w:tab w:val="left" w:pos="1134" w:leader="none"/>
        </w:tabs>
        <w:spacing w:line="276" w:lineRule="auto"/>
        <w:ind w:firstLine="709"/>
        <w:contextualSpacing/>
        <w:rPr>
          <w:i/>
          <w:color w:val="000000"/>
          <w:highlight w:val="white"/>
        </w:rPr>
      </w:pPr>
      <w:r>
        <w:rPr>
          <w:i/>
          <w:color w:val="000000"/>
          <w:highlight w:val="white"/>
        </w:rPr>
      </w:r>
      <w:r>
        <w:rPr>
          <w:i/>
          <w:color w:val="000000"/>
          <w:highlight w:val="white"/>
        </w:rPr>
      </w:r>
    </w:p>
    <w:p>
      <w:pPr>
        <w:spacing w:line="276" w:lineRule="auto"/>
        <w:ind w:firstLine="709"/>
        <w:outlineLvl w:val="1"/>
        <w:rPr>
          <w:b/>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p>
    <w:p>
      <w:pPr>
        <w:spacing w:line="276" w:lineRule="auto"/>
        <w:ind w:firstLine="709"/>
        <w:outlineLvl w:val="1"/>
        <w:rPr>
          <w:b/>
        </w:rPr>
      </w:pPr>
      <w:r>
        <w:rPr>
          <w:b/>
        </w:rPr>
        <w:t xml:space="preserve">4. Анализ, оценка и динамика результатов деятельности в сфере профилактики потребления наркотиков в немедицинских целях</w:t>
      </w:r>
      <w:r>
        <w:rPr>
          <w:b/>
        </w:rPr>
      </w:r>
    </w:p>
    <w:p>
      <w:pPr>
        <w:pStyle w:val="1624"/>
        <w:spacing w:after="0" w:line="276" w:lineRule="auto"/>
        <w:ind w:firstLine="709"/>
        <w:jc w:val="both"/>
        <w:rPr>
          <w:b/>
          <w:sz w:val="28"/>
          <w:szCs w:val="28"/>
        </w:rPr>
      </w:pPr>
      <w:r>
        <w:rPr>
          <w:b/>
          <w:sz w:val="28"/>
          <w:szCs w:val="28"/>
        </w:rPr>
      </w:r>
      <w:r>
        <w:rPr>
          <w:b/>
          <w:sz w:val="28"/>
          <w:szCs w:val="28"/>
        </w:rPr>
      </w:r>
    </w:p>
    <w:p>
      <w:pPr>
        <w:spacing w:line="276" w:lineRule="auto"/>
        <w:ind w:firstLine="709"/>
        <w:rPr>
          <w:sz w:val="24"/>
          <w:szCs w:val="24"/>
        </w:rPr>
      </w:pPr>
      <w:r>
        <w:rPr>
          <w:color w:val="000000"/>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i/>
          <w:color w:val="000000"/>
        </w:rPr>
        <w:t xml:space="preserve">система медицинской профилактики</w:t>
      </w:r>
      <w:r>
        <w:rPr>
          <w:color w:val="000000"/>
        </w:rPr>
        <w:t xml:space="preserve">, включающая: бюджетное учреждение Ханты-Мансийского автономного округа – Югры «Ц</w:t>
      </w:r>
      <w:r>
        <w:rPr>
          <w:color w:val="000000"/>
        </w:rPr>
        <w:t xml:space="preserve">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w:t>
      </w:r>
      <w:r>
        <w:rPr>
          <w:sz w:val="24"/>
          <w:szCs w:val="24"/>
        </w:rPr>
      </w:r>
    </w:p>
    <w:p>
      <w:pPr>
        <w:spacing w:line="276" w:lineRule="auto"/>
        <w:ind w:firstLine="709"/>
        <w:rPr>
          <w:sz w:val="24"/>
          <w:szCs w:val="24"/>
        </w:rPr>
      </w:pPr>
      <w:r>
        <w:rPr>
          <w:color w:val="000000"/>
        </w:rPr>
        <w:t xml:space="preserve">Кр</w:t>
      </w:r>
      <w:r>
        <w:rPr>
          <w:color w:val="000000"/>
        </w:rPr>
        <w:t xml:space="preserve">оме того, в медицинских организациях функционирует 19 отделений и 33 кабинета медицинской профилактики, на базе 36 медицинских организаций созданы и функционируют кабинеты медицинской помощи при отказе от курения (2024 г. – 26 кабинетов отказа от курения).</w:t>
      </w:r>
      <w:r>
        <w:rPr>
          <w:sz w:val="24"/>
          <w:szCs w:val="24"/>
        </w:rPr>
      </w:r>
    </w:p>
    <w:p>
      <w:pPr>
        <w:spacing w:line="276" w:lineRule="auto"/>
        <w:ind w:firstLine="709"/>
        <w:rPr>
          <w:sz w:val="24"/>
          <w:szCs w:val="24"/>
        </w:rPr>
      </w:pPr>
      <w:r>
        <w:rPr>
          <w:color w:val="000000"/>
        </w:rPr>
        <w:t xml:space="preserve">Динамика обращений в действующие центры здоровья в рамках реализации мероприятий по формированию здорового образа жизни за 2024-2025 годы предоставлена в </w:t>
      </w:r>
      <w:r>
        <w:t xml:space="preserve">табл. 4.</w:t>
      </w:r>
      <w:r>
        <w:rPr>
          <w:sz w:val="24"/>
          <w:szCs w:val="24"/>
        </w:rPr>
      </w:r>
    </w:p>
    <w:p>
      <w:pPr>
        <w:spacing w:line="276" w:lineRule="auto"/>
        <w:ind w:firstLine="709"/>
        <w:contextualSpacing/>
        <w:jc w:val="right"/>
      </w:pPr>
      <w:r>
        <w:t xml:space="preserve">Таблица 4 </w:t>
      </w:r>
    </w:p>
    <w:p>
      <w:pPr>
        <w:spacing w:line="276" w:lineRule="auto"/>
        <w:ind w:firstLine="709"/>
        <w:contextualSpacing/>
        <w:jc w:val="center"/>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 xml:space="preserve">за 2024-2025 годы</w:t>
      </w:r>
      <w:r>
        <w:rPr>
          <w:b/>
        </w:rPr>
      </w:r>
    </w:p>
    <w:tbl>
      <w:tblPr>
        <w:tblW w:w="9371" w:type="dxa"/>
        <w:tblInd w:w="93" w:type="dxa"/>
        <w:tblLook w:val="04A0" w:firstRow="1" w:lastRow="0" w:firstColumn="1" w:lastColumn="0" w:noHBand="0" w:noVBand="1"/>
      </w:tblPr>
      <w:tblGrid>
        <w:gridCol w:w="7103"/>
        <w:gridCol w:w="1134"/>
        <w:gridCol w:w="1134"/>
      </w:tblGrid>
      <w:tr>
        <w:trPr>
          <w:trHeight w:val="283"/>
        </w:trPr>
        <w:tc>
          <w:tcPr>
            <w:tcW w:w="7103" w:type="dxa"/>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Наименование показателя</w:t>
            </w:r>
            <w:r>
              <w:rPr>
                <w:b/>
                <w:bCs/>
                <w:color w:val="000000"/>
                <w:sz w:val="24"/>
                <w:szCs w:val="24"/>
              </w:rPr>
            </w:r>
          </w:p>
        </w:tc>
        <w:tc>
          <w:tcPr>
            <w:tcW w:w="1134"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2024 год</w:t>
            </w:r>
            <w:r>
              <w:rPr>
                <w:b/>
                <w:bCs/>
                <w:color w:val="000000"/>
                <w:sz w:val="24"/>
                <w:szCs w:val="24"/>
              </w:rPr>
            </w:r>
          </w:p>
        </w:tc>
        <w:tc>
          <w:tcPr>
            <w:tcW w:w="1134" w:type="dxa"/>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4"/>
                <w:szCs w:val="24"/>
              </w:rPr>
            </w:pPr>
            <w:r>
              <w:rPr>
                <w:b/>
                <w:bCs/>
                <w:color w:val="000000"/>
                <w:sz w:val="24"/>
                <w:szCs w:val="24"/>
              </w:rPr>
              <w:t xml:space="preserve">2025 год</w:t>
            </w:r>
            <w:r>
              <w:rPr>
                <w:b/>
                <w:bCs/>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Количество обратившихся</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15 116</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14 084</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left="567" w:firstLine="0"/>
              <w:rPr>
                <w:color w:val="000000"/>
                <w:sz w:val="24"/>
                <w:szCs w:val="24"/>
              </w:rPr>
            </w:pPr>
            <w:r>
              <w:rPr>
                <w:color w:val="000000"/>
                <w:sz w:val="24"/>
                <w:szCs w:val="24"/>
              </w:rPr>
              <w:t xml:space="preserve">из них детей</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5 711</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6 002</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Признано здоровыми</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4 637</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4 488</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left="567" w:firstLine="0"/>
              <w:rPr>
                <w:color w:val="000000"/>
                <w:sz w:val="24"/>
                <w:szCs w:val="24"/>
              </w:rPr>
            </w:pPr>
            <w:r>
              <w:rPr>
                <w:color w:val="000000"/>
                <w:sz w:val="24"/>
                <w:szCs w:val="24"/>
              </w:rPr>
              <w:t xml:space="preserve">из них детей</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2 041</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2 194</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К группе риска отнесено</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10 479</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9 596</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left="567" w:firstLine="0"/>
              <w:rPr>
                <w:color w:val="000000"/>
                <w:sz w:val="24"/>
                <w:szCs w:val="24"/>
              </w:rPr>
            </w:pPr>
            <w:r>
              <w:rPr>
                <w:color w:val="000000"/>
                <w:sz w:val="24"/>
                <w:szCs w:val="24"/>
              </w:rPr>
              <w:t xml:space="preserve">из них детей</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3 670</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3 808</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Назначены индивидуальные планы оздоровления</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15 116</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14 084</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left="567" w:firstLine="0"/>
              <w:rPr>
                <w:color w:val="000000"/>
                <w:sz w:val="24"/>
                <w:szCs w:val="24"/>
              </w:rPr>
            </w:pPr>
            <w:r>
              <w:rPr>
                <w:color w:val="000000"/>
                <w:sz w:val="24"/>
                <w:szCs w:val="24"/>
              </w:rPr>
              <w:t xml:space="preserve">из них детей</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5 711</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6 002</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Направлено к специалистам в медицинские организации для дополнительного обследования и лечения</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2 965</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4 583</w:t>
            </w:r>
            <w:r>
              <w:rPr>
                <w:color w:val="000000"/>
                <w:sz w:val="24"/>
                <w:szCs w:val="24"/>
              </w:rPr>
            </w:r>
          </w:p>
        </w:tc>
      </w:tr>
      <w:tr>
        <w:trPr>
          <w:trHeight w:val="283"/>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left="567" w:firstLine="0"/>
              <w:rPr>
                <w:color w:val="000000"/>
                <w:sz w:val="24"/>
                <w:szCs w:val="24"/>
              </w:rPr>
            </w:pPr>
            <w:r>
              <w:rPr>
                <w:color w:val="000000"/>
                <w:sz w:val="24"/>
                <w:szCs w:val="24"/>
              </w:rPr>
              <w:t xml:space="preserve">из них детей</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1 157</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1 391</w:t>
            </w:r>
            <w:r>
              <w:rPr>
                <w:color w:val="000000"/>
                <w:sz w:val="24"/>
                <w:szCs w:val="24"/>
              </w:rPr>
            </w:r>
          </w:p>
        </w:tc>
      </w:tr>
      <w:tr>
        <w:trPr>
          <w:trHeight w:val="170"/>
        </w:trPr>
        <w:tc>
          <w:tcPr>
            <w:tcW w:w="710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rPr>
                <w:color w:val="000000"/>
                <w:sz w:val="24"/>
                <w:szCs w:val="24"/>
              </w:rPr>
            </w:pPr>
            <w:r>
              <w:rPr>
                <w:color w:val="000000"/>
                <w:sz w:val="24"/>
                <w:szCs w:val="24"/>
              </w:rPr>
              <w:t xml:space="preserve">Обучено основам здорового образа жизни</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15 116</w:t>
            </w:r>
            <w:r>
              <w:rPr>
                <w:color w:val="000000"/>
                <w:sz w:val="24"/>
                <w:szCs w:val="24"/>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4"/>
                <w:szCs w:val="24"/>
              </w:rPr>
            </w:pPr>
            <w:r>
              <w:rPr>
                <w:color w:val="000000"/>
                <w:sz w:val="24"/>
                <w:szCs w:val="24"/>
              </w:rPr>
              <w:t xml:space="preserve">14 084</w:t>
            </w:r>
            <w:r>
              <w:rPr>
                <w:color w:val="000000"/>
                <w:sz w:val="24"/>
                <w:szCs w:val="24"/>
              </w:rPr>
            </w:r>
          </w:p>
        </w:tc>
      </w:tr>
    </w:tbl>
    <w:p>
      <w:pPr>
        <w:spacing w:line="276" w:lineRule="auto"/>
        <w:ind w:firstLine="709"/>
        <w:rPr>
          <w:sz w:val="24"/>
          <w:szCs w:val="24"/>
        </w:rPr>
      </w:pPr>
      <w:r>
        <w:rPr>
          <w:sz w:val="24"/>
          <w:szCs w:val="24"/>
        </w:rPr>
        <w:t xml:space="preserve"> </w:t>
      </w:r>
      <w:r>
        <w:rPr>
          <w:sz w:val="24"/>
          <w:szCs w:val="24"/>
        </w:rPr>
      </w:r>
    </w:p>
    <w:p>
      <w:pPr>
        <w:spacing w:line="276" w:lineRule="auto"/>
        <w:ind w:firstLine="709"/>
        <w:rPr>
          <w:sz w:val="24"/>
          <w:szCs w:val="24"/>
        </w:rPr>
      </w:pPr>
      <w:r>
        <w:rPr>
          <w:color w:val="000000"/>
        </w:rPr>
        <w:t xml:space="preserve">В медицинских организациях автономного округа действует 36 кабинетов медицинской помощи при отказе от курения. В 2025 году в кабинеты медицинской помощи при отказе от курения зарегистрировано 13 805 обращений (2024 г. – 10 544). </w:t>
      </w:r>
      <w:r>
        <w:rPr>
          <w:sz w:val="24"/>
          <w:szCs w:val="24"/>
        </w:rPr>
      </w:r>
    </w:p>
    <w:p>
      <w:pPr>
        <w:spacing w:line="276" w:lineRule="auto"/>
        <w:ind w:firstLine="709"/>
        <w:rPr>
          <w:sz w:val="24"/>
          <w:szCs w:val="24"/>
        </w:rPr>
      </w:pPr>
      <w:r>
        <w:rPr>
          <w:color w:val="000000"/>
        </w:rPr>
        <w:t xml:space="preserve">Ведется активная работа по взаимодействию со средствами </w:t>
      </w:r>
      <w:r>
        <w:rPr>
          <w:color w:val="000000"/>
        </w:rPr>
        <w:t xml:space="preserve">массовой информации (далее –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r>
        <w:rPr>
          <w:sz w:val="24"/>
          <w:szCs w:val="24"/>
        </w:rPr>
      </w:r>
    </w:p>
    <w:p>
      <w:pPr>
        <w:spacing w:line="276" w:lineRule="auto"/>
        <w:ind w:firstLine="709"/>
        <w:rPr>
          <w:sz w:val="24"/>
          <w:szCs w:val="24"/>
        </w:rPr>
      </w:pPr>
      <w:r>
        <w:rPr>
          <w:color w:val="000000"/>
        </w:rPr>
        <w:t xml:space="preserve">Согласно мониторингу информационного сопровождения деятельности системы здравоохранения автономного округа, в 2025 году наиболее популярными являются темы:</w:t>
      </w:r>
      <w:r>
        <w:rPr>
          <w:sz w:val="24"/>
          <w:szCs w:val="24"/>
        </w:rPr>
      </w:r>
    </w:p>
    <w:p>
      <w:pPr>
        <w:spacing w:line="276" w:lineRule="auto"/>
        <w:ind w:firstLine="709"/>
        <w:rPr>
          <w:sz w:val="24"/>
          <w:szCs w:val="24"/>
        </w:rPr>
      </w:pPr>
      <w:r>
        <w:rPr>
          <w:color w:val="000000"/>
        </w:rPr>
        <w:t xml:space="preserve">«Медицинская профилактика неинфекционных заболеваний и формирование здорового образа жизни, в том числе у детей» размещено 10 761 информационный повод (2024 г. – 12 982);</w:t>
      </w:r>
      <w:r>
        <w:rPr>
          <w:sz w:val="24"/>
          <w:szCs w:val="24"/>
        </w:rPr>
      </w:r>
    </w:p>
    <w:p>
      <w:pPr>
        <w:spacing w:line="276" w:lineRule="auto"/>
        <w:ind w:firstLine="709"/>
        <w:rPr>
          <w:sz w:val="24"/>
          <w:szCs w:val="24"/>
        </w:rPr>
      </w:pPr>
      <w:r>
        <w:rPr>
          <w:color w:val="000000"/>
        </w:rPr>
        <w:t xml:space="preserve">«Профилактика развития зависимостей, включая сокращение потребления табака, алкоголя, наркотических средств и психоактивных веществ, в том числе у детей» размещено 2 355 информационных повода (2024 г. – 2 636).</w:t>
      </w:r>
      <w:r>
        <w:rPr>
          <w:sz w:val="24"/>
          <w:szCs w:val="24"/>
        </w:rPr>
      </w:r>
    </w:p>
    <w:p>
      <w:pPr>
        <w:spacing w:line="276" w:lineRule="auto"/>
        <w:ind w:firstLine="709"/>
        <w:rPr>
          <w:sz w:val="24"/>
          <w:szCs w:val="24"/>
        </w:rPr>
      </w:pPr>
      <w:r>
        <w:rPr>
          <w:color w:val="000000"/>
        </w:rPr>
        <w:t xml:space="preserve">Среди основных площадок по распространению инф</w:t>
      </w:r>
      <w:r>
        <w:rPr>
          <w:color w:val="000000"/>
        </w:rPr>
        <w:t xml:space="preserve">ормации выступают сайты и сообщества в социальных сетях Департамента здравоохранения автономного округа и медицинских организаций. Всего региональную систему здравоохранения в социальных сетях и мессенджерах представляют 317 официальных аккаунтов, из них: </w:t>
      </w:r>
      <w:r>
        <w:rPr>
          <w:color w:val="000000"/>
        </w:rPr>
        <w:t xml:space="preserve">ВКонтакте</w:t>
      </w:r>
      <w:r>
        <w:rPr>
          <w:color w:val="000000"/>
        </w:rPr>
        <w:t xml:space="preserve"> – 92, Одноклассники – 92, </w:t>
      </w:r>
      <w:r>
        <w:rPr>
          <w:color w:val="000000"/>
        </w:rPr>
        <w:t xml:space="preserve">Телеграм</w:t>
      </w:r>
      <w:r>
        <w:rPr>
          <w:color w:val="000000"/>
        </w:rPr>
        <w:t xml:space="preserve"> – 46, МАХ – 87.</w:t>
      </w:r>
      <w:r>
        <w:rPr>
          <w:sz w:val="24"/>
          <w:szCs w:val="24"/>
        </w:rPr>
      </w:r>
    </w:p>
    <w:p>
      <w:pPr>
        <w:spacing w:line="276" w:lineRule="auto"/>
        <w:ind w:firstLine="709"/>
        <w:rPr>
          <w:color w:val="000000"/>
        </w:rPr>
      </w:pPr>
      <w:r>
        <w:rPr>
          <w:color w:val="000000"/>
        </w:rPr>
        <w:t xml:space="preserve">В целях информирования населения используется популярная площадка в системе здравоохранения – группа «Послушайте, доктор. ХМАО - Югра» в социальной сети «</w:t>
      </w:r>
      <w:r>
        <w:rPr>
          <w:color w:val="000000"/>
        </w:rPr>
        <w:t xml:space="preserve">ВКонтакте</w:t>
      </w:r>
      <w:r>
        <w:rPr>
          <w:color w:val="000000"/>
        </w:rPr>
        <w:t xml:space="preserve">». По состоянию на январь 2026 года в группе зарегистрировано 66 986 подписчиков. Ежедневно группу посещают </w:t>
      </w:r>
      <w:r>
        <w:rPr>
          <w:color w:val="000000"/>
        </w:rPr>
        <w:t xml:space="preserve">более тысячи человек. Еженедельно проводятся онлайн трансляции и прямые эфиры со специалистами и экспертами отрасли, с ведущими специалистами системы здравоохранения Югры, граждане задают вопросы согласно теме эфира. В 2025 году проведено 50 прямых эфиров.</w:t>
      </w:r>
      <w:r>
        <w:rPr>
          <w:color w:val="000000"/>
        </w:rPr>
      </w:r>
    </w:p>
    <w:p>
      <w:pPr>
        <w:spacing w:line="276" w:lineRule="auto"/>
        <w:ind w:firstLine="709"/>
        <w:rPr>
          <w:sz w:val="24"/>
          <w:szCs w:val="24"/>
        </w:rPr>
      </w:pPr>
      <w:r>
        <w:rPr>
          <w:color w:val="000000"/>
        </w:rPr>
        <w:t xml:space="preserve">Для </w:t>
      </w:r>
      <w:r>
        <w:rPr>
          <w:color w:val="000000"/>
        </w:rPr>
        <w:t xml:space="preserve">госпабликов</w:t>
      </w:r>
      <w:r>
        <w:rPr>
          <w:color w:val="000000"/>
        </w:rPr>
        <w:t xml:space="preserve"> при участии главных внештатных специалистов Депздрава Югры разрабатывается тематический контент в формате информационных карточек и видеороликов. </w:t>
      </w:r>
      <w:r>
        <w:rPr>
          <w:sz w:val="24"/>
          <w:szCs w:val="24"/>
        </w:rPr>
      </w:r>
    </w:p>
    <w:p>
      <w:pPr>
        <w:spacing w:line="276" w:lineRule="auto"/>
        <w:ind w:firstLine="709"/>
        <w:rPr>
          <w:sz w:val="24"/>
          <w:szCs w:val="24"/>
        </w:rPr>
      </w:pPr>
      <w:r>
        <w:rPr>
          <w:color w:val="000000"/>
        </w:rPr>
        <w:t xml:space="preserve">В 2025 году с</w:t>
      </w:r>
      <w:r>
        <w:rPr>
          <w:color w:val="000000"/>
        </w:rPr>
        <w:t xml:space="preserve">овместно с окружной телерадиокомпанией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40 сюжетов и программ, соответствующих тематическим </w:t>
      </w:r>
      <w:r>
        <w:rPr>
          <w:color w:val="000000"/>
        </w:rPr>
        <w:t xml:space="preserve">профилактическим неделям Министерства здравоохранения Российской Федерации.</w:t>
      </w:r>
      <w:r>
        <w:rPr>
          <w:sz w:val="24"/>
          <w:szCs w:val="24"/>
        </w:rPr>
      </w:r>
    </w:p>
    <w:p>
      <w:pPr>
        <w:spacing w:line="276" w:lineRule="auto"/>
        <w:ind w:firstLine="709"/>
        <w:rPr>
          <w:sz w:val="24"/>
          <w:szCs w:val="24"/>
        </w:rPr>
      </w:pPr>
      <w:r>
        <w:rPr>
          <w:color w:val="00000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w:t>
      </w:r>
      <w:r>
        <w:rPr>
          <w:color w:val="000000"/>
        </w:rPr>
        <w:t xml:space="preserve">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автономный округ и город Тюмень. Количество потенциальных слушателей около 1,5 млн человек, возраст 16+. </w:t>
      </w:r>
      <w:r>
        <w:rPr>
          <w:sz w:val="24"/>
          <w:szCs w:val="24"/>
        </w:rPr>
      </w:r>
    </w:p>
    <w:p>
      <w:pPr>
        <w:spacing w:line="276" w:lineRule="auto"/>
        <w:ind w:firstLine="709"/>
        <w:rPr>
          <w:sz w:val="24"/>
          <w:szCs w:val="24"/>
        </w:rPr>
      </w:pPr>
      <w:r>
        <w:rPr>
          <w:color w:val="000000"/>
        </w:rPr>
        <w:t xml:space="preserve">Ежегодно в эфир выходит 100 передач. Темы передач отражают запланированные Министерством здравоохранения Российской Федерации тематические недели по профилактике заболеваний и пропаганде здорового образа жизни.</w:t>
      </w:r>
      <w:r>
        <w:rPr>
          <w:sz w:val="24"/>
          <w:szCs w:val="24"/>
        </w:rPr>
      </w:r>
    </w:p>
    <w:p>
      <w:pPr>
        <w:spacing w:line="276" w:lineRule="auto"/>
        <w:ind w:firstLine="709"/>
        <w:rPr>
          <w:sz w:val="24"/>
          <w:szCs w:val="24"/>
        </w:rPr>
      </w:pPr>
      <w:r>
        <w:rPr>
          <w:color w:val="000000"/>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rPr>
          <w:sz w:val="24"/>
          <w:szCs w:val="24"/>
        </w:rPr>
      </w:r>
    </w:p>
    <w:p>
      <w:pPr>
        <w:spacing w:line="276" w:lineRule="auto"/>
        <w:ind w:firstLine="709"/>
        <w:rPr>
          <w:sz w:val="24"/>
          <w:szCs w:val="24"/>
        </w:rPr>
      </w:pPr>
      <w:r>
        <w:rPr>
          <w:color w:val="000000"/>
        </w:rPr>
        <w:t xml:space="preserve">Ежегодно Центр общественного здоровья и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w:t>
      </w:r>
      <w:r>
        <w:rPr>
          <w:color w:val="000000"/>
        </w:rPr>
        <w:t xml:space="preserve">ности. Так в 2025 году напечатано 13 наименований полиграфической продукции, общим тиражом 48 980 экз. (2024 г. – 7 наименований, тираж 101 000 экз.), в том числе плакаты «Безопасной дозы алкоголя не существует!» и «Отличное время, чтобы бросить курить!». </w:t>
      </w:r>
      <w:r>
        <w:rPr>
          <w:sz w:val="24"/>
          <w:szCs w:val="24"/>
        </w:rPr>
      </w:r>
    </w:p>
    <w:p>
      <w:pPr>
        <w:spacing w:line="276" w:lineRule="auto"/>
        <w:ind w:firstLine="709"/>
        <w:rPr>
          <w:sz w:val="24"/>
          <w:szCs w:val="24"/>
        </w:rPr>
      </w:pPr>
      <w:r>
        <w:rPr>
          <w:color w:val="000000"/>
        </w:rPr>
        <w:t xml:space="preserve">Приказом Департамента здравоохранения Ханты-Мансийского автономного округа – Югры от 28.12.2024 № 1903 «О проведении р</w:t>
      </w:r>
      <w:r>
        <w:rPr>
          <w:color w:val="000000"/>
        </w:rPr>
        <w:t xml:space="preserve">егиональных тематических недель по профилактике заболеваний округе – Югре в 2025 году» утвержден план проведения региональных тематических мероприятий по профилактике заболеваний, поддержке и пропаганде здорового образа жизни в Югре здорового образа жизни.</w:t>
      </w:r>
      <w:r>
        <w:rPr>
          <w:sz w:val="24"/>
          <w:szCs w:val="24"/>
        </w:rPr>
      </w:r>
    </w:p>
    <w:p>
      <w:pPr>
        <w:spacing w:line="276" w:lineRule="auto"/>
        <w:ind w:firstLine="709"/>
        <w:rPr>
          <w:sz w:val="24"/>
          <w:szCs w:val="24"/>
        </w:rPr>
      </w:pPr>
      <w:r>
        <w:rPr>
          <w:color w:val="000000"/>
        </w:rPr>
        <w:t xml:space="preserve">В автономном округе с 27.01.2025 по 02.05.2025 прошла «Неделя профилактики употребления наркотических средств», с 10.03.2025 по 16.03.2025 – «Неделя по борьбе с заражением</w:t>
      </w:r>
      <w:r>
        <w:rPr>
          <w:color w:val="000000"/>
        </w:rPr>
        <w:t xml:space="preserve"> и распространение хронического вирусного гепатита С»,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w:t>
      </w:r>
      <w:r>
        <w:rPr>
          <w:sz w:val="24"/>
          <w:szCs w:val="24"/>
        </w:rPr>
      </w:r>
    </w:p>
    <w:p>
      <w:pPr>
        <w:spacing w:line="276" w:lineRule="auto"/>
        <w:ind w:firstLine="709"/>
        <w:rPr>
          <w:sz w:val="24"/>
          <w:szCs w:val="24"/>
        </w:rPr>
      </w:pPr>
      <w:r>
        <w:rPr>
          <w:color w:val="000000"/>
        </w:rPr>
        <w:t xml:space="preserve">В рамках тематических недель организуются обучающие мероприятия для медицинских работников (научно-практические семинары, лекции), мероприятия для граждан (лекции, беседы, акции, и др.), разрабатывается тематическая </w:t>
      </w:r>
      <w:r>
        <w:rPr>
          <w:color w:val="000000"/>
        </w:rPr>
        <w:t xml:space="preserve">инфографика</w:t>
      </w:r>
      <w:r>
        <w:rPr>
          <w:color w:val="000000"/>
        </w:rPr>
        <w:t xml:space="preserve"> и размещается в медицинских, образовательных и социальных организациях, проводятся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r>
        <w:rPr>
          <w:sz w:val="24"/>
          <w:szCs w:val="24"/>
        </w:rPr>
      </w:r>
    </w:p>
    <w:p>
      <w:pPr>
        <w:spacing w:line="276" w:lineRule="auto"/>
        <w:ind w:firstLine="709"/>
        <w:rPr>
          <w:sz w:val="24"/>
          <w:szCs w:val="24"/>
        </w:rPr>
      </w:pPr>
      <w:r>
        <w:rPr>
          <w:color w:val="000000"/>
        </w:rPr>
        <w:t xml:space="preserve">Кроме того, в рамках реализации пл</w:t>
      </w:r>
      <w:r>
        <w:rPr>
          <w:color w:val="000000"/>
        </w:rP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rPr>
          <w:sz w:val="24"/>
          <w:szCs w:val="24"/>
        </w:rPr>
      </w:r>
    </w:p>
    <w:p>
      <w:pPr>
        <w:spacing w:line="276" w:lineRule="auto"/>
        <w:ind w:firstLine="709"/>
        <w:rPr>
          <w:color w:val="000000"/>
        </w:rPr>
      </w:pPr>
      <w:r>
        <w:rPr>
          <w:color w:val="000000"/>
        </w:rPr>
        <w:t xml:space="preserve">В 2025 году специалистами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w:t>
      </w:r>
      <w:r>
        <w:rPr>
          <w:color w:val="000000"/>
        </w:rPr>
      </w:r>
    </w:p>
    <w:p>
      <w:pPr>
        <w:spacing w:line="276" w:lineRule="auto"/>
        <w:ind w:firstLine="709"/>
        <w:rPr>
          <w:color w:val="000000"/>
        </w:rPr>
      </w:pPr>
      <w:r>
        <w:rPr>
          <w:color w:val="000000"/>
        </w:rPr>
        <w:t xml:space="preserve">- прочитано 2 037 лекций (2024 г. – 2 691), число слушателей 55 272 чел. (2024 г. – 53 484 чел.);</w:t>
      </w:r>
      <w:r>
        <w:rPr>
          <w:color w:val="000000"/>
        </w:rPr>
      </w:r>
    </w:p>
    <w:p>
      <w:pPr>
        <w:spacing w:line="276" w:lineRule="auto"/>
        <w:ind w:firstLine="709"/>
        <w:rPr>
          <w:color w:val="000000"/>
        </w:rPr>
      </w:pPr>
      <w:r>
        <w:rPr>
          <w:color w:val="000000"/>
        </w:rPr>
        <w:t xml:space="preserve">- проведено 104 913 бесед (2024 г. – 95 721), число участников 214 794 чел. (2024 г. – 210 344 чел.);</w:t>
      </w:r>
      <w:r>
        <w:rPr>
          <w:color w:val="000000"/>
        </w:rPr>
      </w:r>
    </w:p>
    <w:p>
      <w:pPr>
        <w:spacing w:line="276" w:lineRule="auto"/>
        <w:ind w:firstLine="709"/>
        <w:rPr>
          <w:color w:val="000000"/>
        </w:rPr>
      </w:pPr>
      <w:r>
        <w:rPr>
          <w:color w:val="000000"/>
        </w:rPr>
        <w:t xml:space="preserve">- проведено 29 семинаров (2024 г. – 29), число участников 1 137 чел. (2024 г. – 675 чел.);</w:t>
      </w:r>
      <w:r>
        <w:rPr>
          <w:color w:val="000000"/>
        </w:rPr>
      </w:r>
    </w:p>
    <w:p>
      <w:pPr>
        <w:spacing w:line="276" w:lineRule="auto"/>
        <w:ind w:firstLine="709"/>
        <w:rPr>
          <w:color w:val="000000"/>
        </w:rPr>
      </w:pPr>
      <w:r>
        <w:rPr>
          <w:color w:val="000000"/>
        </w:rPr>
        <w:t xml:space="preserve">- проведено 9 тренингов (2024 г. – 33), число участников 1 534 чел. (2024 г. – 1 155 чел.);</w:t>
      </w:r>
      <w:r>
        <w:rPr>
          <w:color w:val="000000"/>
        </w:rPr>
      </w:r>
    </w:p>
    <w:p>
      <w:pPr>
        <w:spacing w:line="276" w:lineRule="auto"/>
        <w:ind w:firstLine="709"/>
        <w:rPr>
          <w:color w:val="000000"/>
        </w:rPr>
      </w:pPr>
      <w:r>
        <w:rPr>
          <w:color w:val="000000"/>
        </w:rPr>
        <w:t xml:space="preserve">- проведено 332 урока здоровья для дошкольников и школьников </w:t>
      </w:r>
      <w:r>
        <w:rPr>
          <w:color w:val="000000"/>
        </w:rPr>
        <w:br/>
        <w:t xml:space="preserve">(2024 г. – 302), число участников 13 309 чел. (2024 г. – 10 483 чел.);</w:t>
      </w:r>
      <w:r>
        <w:rPr>
          <w:color w:val="000000"/>
        </w:rPr>
      </w:r>
    </w:p>
    <w:p>
      <w:pPr>
        <w:spacing w:line="276" w:lineRule="auto"/>
        <w:ind w:firstLine="709"/>
        <w:rPr>
          <w:color w:val="000000"/>
        </w:rPr>
      </w:pPr>
      <w:r>
        <w:rPr>
          <w:color w:val="000000"/>
        </w:rPr>
        <w:t xml:space="preserve">- осуществлено 856 </w:t>
      </w:r>
      <w:r>
        <w:rPr>
          <w:color w:val="000000"/>
        </w:rPr>
        <w:t xml:space="preserve">кинодемонстраций</w:t>
      </w:r>
      <w:r>
        <w:rPr>
          <w:color w:val="000000"/>
        </w:rPr>
        <w:t xml:space="preserve"> (2024 г. – 1 086), число зрителей 28 871 чел. (2024 г. – 29 689 чел.);</w:t>
      </w:r>
      <w:r>
        <w:rPr>
          <w:color w:val="000000"/>
        </w:rPr>
      </w:r>
    </w:p>
    <w:p>
      <w:pPr>
        <w:spacing w:line="276" w:lineRule="auto"/>
        <w:ind w:firstLine="709"/>
        <w:rPr>
          <w:color w:val="000000"/>
        </w:rPr>
      </w:pPr>
      <w:r>
        <w:rPr>
          <w:color w:val="000000"/>
        </w:rPr>
        <w:t xml:space="preserve">- реализовано 452 массовых мероприятия (акции, круглые столы, </w:t>
      </w:r>
      <w:r>
        <w:rPr>
          <w:color w:val="000000"/>
        </w:rPr>
        <w:t xml:space="preserve">флешмобы</w:t>
      </w:r>
      <w:r>
        <w:rPr>
          <w:color w:val="000000"/>
        </w:rPr>
        <w:t xml:space="preserve">, конкурсы, викторины и др.) (2024 г. – 506), общее число участников 126 947 чел. (2024 г. – 99 736 чел.);</w:t>
      </w:r>
      <w:r>
        <w:rPr>
          <w:color w:val="000000"/>
        </w:rPr>
      </w:r>
    </w:p>
    <w:p>
      <w:pPr>
        <w:spacing w:line="276" w:lineRule="auto"/>
        <w:ind w:firstLine="709"/>
        <w:rPr>
          <w:color w:val="000000"/>
        </w:rPr>
      </w:pPr>
      <w:r>
        <w:rPr>
          <w:color w:val="000000"/>
        </w:rPr>
        <w:t xml:space="preserve">- размещено 2 737 средств наглядной агитации (2024 г. – 2 503 ед.);</w:t>
      </w:r>
      <w:r>
        <w:rPr>
          <w:color w:val="000000"/>
        </w:rPr>
      </w:r>
    </w:p>
    <w:p>
      <w:pPr>
        <w:spacing w:line="276" w:lineRule="auto"/>
        <w:ind w:firstLine="709"/>
        <w:rPr>
          <w:sz w:val="24"/>
          <w:szCs w:val="24"/>
        </w:rPr>
      </w:pPr>
      <w:r>
        <w:rPr>
          <w:color w:val="000000"/>
        </w:rPr>
        <w:t xml:space="preserve">- распространено 93 038 экз. тематической печатной продукции </w:t>
      </w:r>
      <w:r>
        <w:rPr>
          <w:color w:val="000000"/>
        </w:rPr>
        <w:br/>
        <w:t xml:space="preserve">(2024 г. – 105 907 экз.).</w:t>
      </w:r>
      <w:r>
        <w:rPr>
          <w:sz w:val="24"/>
          <w:szCs w:val="24"/>
        </w:rPr>
      </w:r>
    </w:p>
    <w:p>
      <w:pPr>
        <w:spacing w:line="276" w:lineRule="auto"/>
        <w:ind w:firstLine="709"/>
        <w:rPr>
          <w:sz w:val="24"/>
          <w:szCs w:val="24"/>
        </w:rPr>
      </w:pPr>
      <w:r>
        <w:rPr>
          <w:color w:val="000000"/>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w:t>
      </w:r>
      <w:r>
        <w:rPr>
          <w:color w:val="000000"/>
        </w:rPr>
        <w:t xml:space="preserve">региональным отделением Всероссийского общественного движения «Волонтеры-медики».</w:t>
      </w:r>
      <w:r>
        <w:rPr>
          <w:sz w:val="24"/>
          <w:szCs w:val="24"/>
        </w:rPr>
      </w:r>
    </w:p>
    <w:p>
      <w:pPr>
        <w:spacing w:line="276" w:lineRule="auto"/>
        <w:ind w:firstLine="709"/>
        <w:rPr>
          <w:sz w:val="24"/>
          <w:szCs w:val="24"/>
        </w:rPr>
      </w:pPr>
      <w:r>
        <w:rPr>
          <w:color w:val="000000"/>
        </w:rPr>
        <w:t xml:space="preserve">В сфере здравоохранения автономного округа в настоящее время трудятся 1 605 добровольцев, которые активно принимают участие в акциях и мероприятиях медицинского добровольчества. </w:t>
      </w:r>
      <w:r>
        <w:rPr>
          <w:sz w:val="24"/>
          <w:szCs w:val="24"/>
        </w:rPr>
      </w:r>
    </w:p>
    <w:p>
      <w:pPr>
        <w:spacing w:line="276" w:lineRule="auto"/>
        <w:ind w:firstLine="709"/>
        <w:rPr>
          <w:sz w:val="24"/>
          <w:szCs w:val="24"/>
        </w:rPr>
      </w:pPr>
      <w:r>
        <w:rPr>
          <w:color w:val="000000"/>
        </w:rPr>
        <w:t xml:space="preserve">В 2025 году при участии 2 529 волонтеров проведено 2 093 мероприятия, направленных на популяризацию здорового образа жизни и медицинского добровольчества, профилактику заболеваний, в которых приняли участие 62 860 </w:t>
      </w:r>
      <w:r>
        <w:rPr>
          <w:color w:val="000000"/>
        </w:rPr>
        <w:t xml:space="preserve">югорчан</w:t>
      </w:r>
      <w:r>
        <w:rPr>
          <w:color w:val="000000"/>
        </w:rPr>
        <w:t xml:space="preserve"> (2024 г. – 829 мероприятий, число участников 33 015 чел.).</w:t>
      </w:r>
      <w:r>
        <w:rPr>
          <w:sz w:val="24"/>
          <w:szCs w:val="24"/>
        </w:rPr>
      </w:r>
    </w:p>
    <w:p>
      <w:pPr>
        <w:spacing w:line="276" w:lineRule="auto"/>
        <w:ind w:firstLine="709"/>
        <w:contextualSpacing/>
        <w:rPr>
          <w:lang w:eastAsia="en-US"/>
        </w:rPr>
      </w:pPr>
      <w:r>
        <w:rPr>
          <w:lang w:eastAsia="en-US"/>
        </w:rPr>
      </w:r>
      <w:r>
        <w:rPr>
          <w:lang w:eastAsia="en-US"/>
        </w:rPr>
      </w:r>
    </w:p>
    <w:p>
      <w:pPr>
        <w:spacing w:line="276" w:lineRule="auto"/>
        <w:ind w:firstLine="709"/>
        <w:contextualSpacing/>
      </w:pPr>
      <w:r>
        <w:rPr>
          <w:lang w:eastAsia="en-US"/>
        </w:rPr>
        <w:t xml:space="preserve">По сведениям </w:t>
      </w:r>
      <w:r>
        <w:rPr>
          <w:i/>
          <w:lang w:eastAsia="en-US"/>
        </w:rPr>
        <w:t xml:space="preserve">Департамента образования и науки Ханты-Мансийского автономного округа – Югры </w:t>
      </w:r>
      <w:r>
        <w:rPr>
          <w:bCs/>
        </w:rPr>
        <w:t xml:space="preserve">в 2024/2025 учебном году количество проведенных муниципальных мероприятий, направленных на профилактику употребления </w:t>
      </w:r>
      <w:r>
        <w:t xml:space="preserve">наркотических средств (далее – </w:t>
      </w:r>
      <w:r>
        <w:rPr>
          <w:bCs/>
        </w:rPr>
        <w:t xml:space="preserve">НС) и </w:t>
      </w:r>
      <w:r>
        <w:t xml:space="preserve">психоактивных веществ (далее – </w:t>
      </w:r>
      <w:r>
        <w:rPr>
          <w:bCs/>
        </w:rPr>
        <w:t xml:space="preserve">ПАВ) </w:t>
      </w:r>
      <w:r>
        <w:t xml:space="preserve">обучающимися</w:t>
      </w:r>
      <w:r>
        <w:rPr>
          <w:bCs/>
        </w:rPr>
        <w:t xml:space="preserve"> образовательных организаций автономного округа, составило 5422 мероприятия, что на 46 муниципальных мероприятий больше показателя прошлого отчетного периода (</w:t>
      </w:r>
      <w:r>
        <w:t xml:space="preserve">5376 ед.). Из них 1182 мероприятий имели межведомственный характер, что на 107 ед. больше, чем в 2023/2024 учебном году (1075 ед.). </w:t>
      </w:r>
    </w:p>
    <w:p>
      <w:pPr>
        <w:spacing w:line="276" w:lineRule="auto"/>
        <w:ind w:firstLine="709"/>
        <w:contextualSpacing/>
      </w:pPr>
      <w:r>
        <w:t xml:space="preserve">Общее количество участников мероприятий по профилактике употребления НС и ПАВ из числа обучающихся в 2024/2025 учебном году составило 249195 человек, что на 1388 человек меньше показателя прошлого отчетного периода (247807 чел.). Были задействованы: </w:t>
      </w:r>
    </w:p>
    <w:p>
      <w:pPr>
        <w:numPr>
          <w:numId w:val="5"/>
          <w:ilvl w:val="0"/>
        </w:numPr>
        <w:tabs>
          <w:tab w:val="left" w:pos="0" w:leader="none"/>
          <w:tab w:val="left" w:pos="284" w:leader="none"/>
          <w:tab w:val="left" w:pos="993" w:leader="none"/>
        </w:tabs>
        <w:spacing w:line="276" w:lineRule="auto"/>
        <w:ind w:left="0" w:firstLine="709"/>
        <w:contextualSpacing/>
        <w:rPr>
          <w:bCs/>
        </w:rPr>
      </w:pPr>
      <w:r>
        <w:rPr>
          <w:bCs/>
          <w:spacing w:val="-2"/>
        </w:rPr>
        <w:t xml:space="preserve">специалисты образовательных организаций – 5317 чел., по сравнению </w:t>
      </w:r>
      <w:r>
        <w:rPr>
          <w:bCs/>
        </w:rPr>
        <w:t xml:space="preserve">с прошлым годом (5295 чел.) их количество увеличилось на 22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родители (законные представители) – 102365 чел., по равнению </w:t>
      </w:r>
      <w:r>
        <w:rPr>
          <w:bCs/>
        </w:rPr>
        <w:br/>
        <w:t xml:space="preserve">с прошлым годом (101818 чел.) количество родителей (законных представителей) увеличилось на 547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обучающиеся – 140216 чел., по сравнению с прошлым годом (139431 чел.) количество обучающихся увеличилось на 785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специалисты медицинских организаций – 402 чел., по сравнению </w:t>
      </w:r>
      <w:r>
        <w:rPr>
          <w:bCs/>
        </w:rPr>
        <w:br/>
        <w:t xml:space="preserve">с прошлым годом (410 чел.) их количество уменьшилось на 8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специалисты Комиссий по делам несовершеннолетних и защите их прав – 125 чел., по сравнению с прошлым годом (121 чел.) их количество увеличилось на 4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сотрудники органов полиции, отдела по делам несовершеннолетних – 385 чел., по сравнению с прошлым годом (379 чел.) их количество увеличилось на 6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специалисты органов управления социальной защиты населения – 79 чел., по сравнению с прошлым годом (68 чел.) их количество увеличилось на 11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специалисты органов опеки и попечительства – 59 чел., </w:t>
      </w:r>
      <w:r>
        <w:rPr>
          <w:bCs/>
        </w:rPr>
        <w:br/>
        <w:t xml:space="preserve">по сравнению с прошлым годом (55 чел.) их количество увеличилось на 4 чел.; </w:t>
      </w:r>
      <w:r>
        <w:rPr>
          <w:bCs/>
        </w:rPr>
      </w:r>
    </w:p>
    <w:p>
      <w:pPr>
        <w:numPr>
          <w:numId w:val="5"/>
          <w:ilvl w:val="0"/>
        </w:numPr>
        <w:tabs>
          <w:tab w:val="left" w:pos="0" w:leader="none"/>
          <w:tab w:val="left" w:pos="284" w:leader="none"/>
          <w:tab w:val="left" w:pos="993" w:leader="none"/>
          <w:tab w:val="left" w:pos="1134" w:leader="none"/>
        </w:tabs>
        <w:spacing w:line="276" w:lineRule="auto"/>
        <w:ind w:left="0" w:firstLine="709"/>
        <w:contextualSpacing/>
        <w:rPr>
          <w:bCs/>
        </w:rPr>
      </w:pPr>
      <w:r>
        <w:rPr>
          <w:bCs/>
        </w:rPr>
        <w:t xml:space="preserve">иные специалисты (представители автономных некоммерческих организаций, духовенства, межрайонной прокуратуры, отделения по контролю за оборотом наркотиков и др.) – 247 чел., по сравнению с прошлым годом (230 чел.) их количество увеличилось на 17 чел. </w:t>
      </w:r>
      <w:r>
        <w:rPr>
          <w:bCs/>
        </w:rPr>
      </w:r>
    </w:p>
    <w:p>
      <w:pPr>
        <w:spacing w:line="276" w:lineRule="auto"/>
        <w:ind w:firstLine="709"/>
        <w:contextualSpacing/>
      </w:pPr>
      <w:r>
        <w:t xml:space="preserve">Профилактические мероприятия по предупреждению употребления НС и ПАВ обучающимися реализуются в рамках программ и годовых планов </w:t>
      </w:r>
      <w:r>
        <w:br/>
        <w:t xml:space="preserve">по профилактике употребления наркотических средств и психоактивных веществ, утвержденных образовательными организациями автономного округа. В</w:t>
      </w:r>
      <w:r>
        <w:rPr>
          <w:bCs/>
        </w:rPr>
        <w:t xml:space="preserve"> 2024/2025 учебном году </w:t>
      </w:r>
      <w:r>
        <w:t xml:space="preserve">реализованы комплексы психолого-педагогических мероприятий: </w:t>
      </w:r>
    </w:p>
    <w:p>
      <w:pPr>
        <w:tabs>
          <w:tab w:val="left" w:pos="1418" w:leader="none"/>
          <w:tab w:val="left" w:pos="1701" w:leader="none"/>
        </w:tabs>
        <w:spacing w:line="276" w:lineRule="auto"/>
        <w:ind w:firstLine="709"/>
        <w:contextualSpacing/>
      </w:pPr>
      <w:r>
        <w:t xml:space="preserve">в 304 образовательных организациях организована работа </w:t>
      </w:r>
      <w:r>
        <w:br/>
        <w:t xml:space="preserve">по программам профилактики употребления НС и ПАВ среди обучающихся </w:t>
      </w:r>
      <w:r>
        <w:br/>
        <w:t xml:space="preserve">(что на 4 программы больше, чем в 2023/2024 учебном году – 300 программ); </w:t>
      </w:r>
    </w:p>
    <w:p>
      <w:pPr>
        <w:tabs>
          <w:tab w:val="left" w:pos="1418" w:leader="none"/>
        </w:tabs>
        <w:spacing w:line="276" w:lineRule="auto"/>
        <w:ind w:firstLine="709"/>
        <w:contextualSpacing/>
      </w:pPr>
      <w:r>
        <w:t xml:space="preserve">в 318 образовательных организациях организована работа </w:t>
      </w:r>
      <w:r>
        <w:br/>
        <w:t xml:space="preserve">по годовым планам, направленным на профилактику употребления НС и ПАВ среди обучающихся (что на 2 годовых плана больше, чем в 2023/2024 учебном году – 316 планов). </w:t>
      </w:r>
    </w:p>
    <w:p>
      <w:pPr>
        <w:spacing w:line="276" w:lineRule="auto"/>
        <w:ind w:firstLine="709"/>
        <w:contextualSpacing/>
      </w:pPr>
      <w:r>
        <w:t xml:space="preserve">В 323 образовательных организациях округа оформлены информационные стенды, содержащие списки телефонных номеров территориальных комиссий по делам несов</w:t>
      </w:r>
      <w:r>
        <w:t xml:space="preserve">ершеннолетних и защите их прав, отдела органов внутренних дел, телефонов доверия и других учреждений, оказывающих помощь в вопросах профилактики употребления НС и ПАВ. Дополнительно данная информация размещена на сайтах образовательных организаций округа. </w:t>
      </w:r>
    </w:p>
    <w:p>
      <w:pPr>
        <w:spacing w:line="276" w:lineRule="auto"/>
        <w:ind w:firstLine="709"/>
        <w:contextualSpacing/>
      </w:pPr>
      <w:r>
        <w:t xml:space="preserve">В 2024/2025 учебном году общее количество обучающихся, с которыми проведена профилактическая работа, направленная на предупреждение </w:t>
      </w:r>
      <w:r>
        <w:rPr>
          <w:bCs/>
        </w:rPr>
        <w:t xml:space="preserve">употребления НС и ПАВ</w:t>
      </w:r>
      <w:r>
        <w:t xml:space="preserve"> составило 183517 чел. (показатель прошлого года – 182780 чел., что на 737 обучающихся меньше показателя текущего учебного года). </w:t>
      </w:r>
    </w:p>
    <w:p>
      <w:pPr>
        <w:spacing w:line="276" w:lineRule="auto"/>
        <w:ind w:firstLine="709"/>
        <w:contextualSpacing/>
      </w:pPr>
      <w:r>
        <w:t xml:space="preserve">Обучающиеся 323 образовательных организаций автономного округа приняли участие в следующих мероприятиях: </w:t>
      </w:r>
    </w:p>
    <w:p>
      <w:pPr>
        <w:numPr>
          <w:numId w:val="11"/>
          <w:ilvl w:val="0"/>
        </w:numPr>
        <w:tabs>
          <w:tab w:val="left" w:pos="993" w:leader="none"/>
        </w:tabs>
        <w:spacing w:line="276" w:lineRule="auto"/>
        <w:ind w:left="0" w:firstLine="709"/>
        <w:contextualSpacing/>
        <w:rPr>
          <w:rFonts w:eastAsia="Calibri"/>
          <w:lang w:eastAsia="en-US"/>
        </w:rPr>
      </w:pPr>
      <w:r>
        <w:rPr>
          <w:rFonts w:eastAsia="Calibri"/>
          <w:lang w:eastAsia="en-US"/>
        </w:rPr>
        <w:t xml:space="preserve">в 1996 межведомственных профилактических мероприятиях муниципального уровня – 205517 обучающихся, что составило 85,4% от общего количества обучающихся образовательных организаций округа (240726 чел.), это на 1,4% больше, чем в 2023/2024 учебном году; </w:t>
      </w:r>
      <w:r>
        <w:rPr>
          <w:rFonts w:eastAsia="Calibri"/>
          <w:lang w:eastAsia="en-US"/>
        </w:rPr>
      </w:r>
    </w:p>
    <w:p>
      <w:pPr>
        <w:numPr>
          <w:numId w:val="10"/>
          <w:ilvl w:val="0"/>
        </w:numPr>
        <w:tabs>
          <w:tab w:val="left" w:pos="993" w:leader="none"/>
        </w:tabs>
        <w:spacing w:line="276" w:lineRule="auto"/>
        <w:ind w:left="0" w:firstLine="709"/>
        <w:contextualSpacing/>
      </w:pPr>
      <w:r>
        <w:t xml:space="preserve">в 3915 мероприятиях</w:t>
      </w:r>
      <w:r>
        <w:rPr>
          <w:spacing w:val="20"/>
        </w:rPr>
        <w:t xml:space="preserve"> </w:t>
      </w:r>
      <w:r>
        <w:t xml:space="preserve">Месячника антинаркотической направленности и популяризации здорового образа жизни – 192613 обучающихся, что составило 80,0% от общего количества обучающихся образовательных организаций округа, это на 1,3% меньше показателя 2023/2024 учебного года;</w:t>
      </w:r>
      <w:r>
        <w:rPr>
          <w:strike/>
        </w:rPr>
        <w:t xml:space="preserve"> </w:t>
      </w:r>
    </w:p>
    <w:p>
      <w:pPr>
        <w:numPr>
          <w:numId w:val="10"/>
          <w:ilvl w:val="0"/>
        </w:numPr>
        <w:tabs>
          <w:tab w:val="left" w:pos="993" w:leader="none"/>
        </w:tabs>
        <w:spacing w:line="276" w:lineRule="auto"/>
        <w:ind w:left="0" w:firstLine="709"/>
        <w:contextualSpacing/>
      </w:pPr>
      <w:r>
        <w:t xml:space="preserve">в 1257 антинаркотических мероприятиях в сети Интернет – 115836 обучающихся, что составило 42,8% от общего количества обучающихся образовательных организаций округа, это на 19,4% меньше, чем в 2023/2024 учебном году; </w:t>
      </w:r>
    </w:p>
    <w:p>
      <w:pPr>
        <w:numPr>
          <w:numId w:val="10"/>
          <w:ilvl w:val="0"/>
        </w:numPr>
        <w:tabs>
          <w:tab w:val="left" w:pos="993" w:leader="none"/>
        </w:tabs>
        <w:spacing w:line="276" w:lineRule="auto"/>
        <w:ind w:left="0" w:firstLine="709"/>
        <w:contextualSpacing/>
      </w:pPr>
      <w:r>
        <w:t xml:space="preserve">охват обучающихся, привлеченных к волонтерской «шефской» работе составил 59615 обучающихся в 395 объединениях (24,7% от общего количества обучающихся образовательных организаций округа), это на 5,8% меньше, чем в 2023/2024 учебном году; </w:t>
      </w:r>
    </w:p>
    <w:p>
      <w:pPr>
        <w:numPr>
          <w:numId w:val="6"/>
          <w:ilvl w:val="0"/>
        </w:numPr>
        <w:tabs>
          <w:tab w:val="left" w:pos="993" w:leader="none"/>
        </w:tabs>
        <w:spacing w:line="276" w:lineRule="auto"/>
        <w:ind w:left="0" w:firstLine="709"/>
        <w:contextualSpacing/>
      </w:pPr>
      <w:r>
        <w:t xml:space="preserve">охват обучающихся, привлеченных в детское общественное движени</w:t>
      </w:r>
      <w:r>
        <w:t xml:space="preserve">е (включая Российское движение школьников и Российское движение детей и молодежи), составил 84595 обучающихся в 318 объединениях (31,2% от общего количества обучающихся образовательных организаций округа, это на 10,1% меньше, чем в 2023/2024 учебном году; </w:t>
      </w:r>
    </w:p>
    <w:p>
      <w:pPr>
        <w:numPr>
          <w:numId w:val="6"/>
          <w:ilvl w:val="0"/>
        </w:numPr>
        <w:tabs>
          <w:tab w:val="left" w:pos="993" w:leader="none"/>
        </w:tabs>
        <w:spacing w:line="276" w:lineRule="auto"/>
        <w:ind w:left="0" w:firstLine="709"/>
        <w:contextualSpacing/>
      </w:pPr>
      <w:r>
        <w:t xml:space="preserve">охват участников ученического самоуправления составил 22517 обучающихся в 353 объединениях (11,4% от общего количества обучающихся образовательных организаций округа, это на 9,4% меньше, чем в 2023/2024 учебном году; </w:t>
      </w:r>
    </w:p>
    <w:p>
      <w:pPr>
        <w:numPr>
          <w:numId w:val="6"/>
          <w:ilvl w:val="0"/>
        </w:numPr>
        <w:tabs>
          <w:tab w:val="left" w:pos="993" w:leader="none"/>
        </w:tabs>
        <w:spacing w:line="276" w:lineRule="auto"/>
        <w:ind w:left="0" w:firstLine="709"/>
        <w:contextualSpacing/>
      </w:pPr>
      <w:r>
        <w:t xml:space="preserve">охват обучающихся, привлеченных в отряды «</w:t>
      </w:r>
      <w:r>
        <w:t xml:space="preserve">Юнармии</w:t>
      </w:r>
      <w:r>
        <w:t xml:space="preserve">», составил 9815 человек в 286 объединениях (4,0% от общего количества обучающихся образовательных организаций округа, это на 1,3% меньше, чем в 2023/2024 учебном году; </w:t>
      </w:r>
    </w:p>
    <w:p>
      <w:pPr>
        <w:numPr>
          <w:numId w:val="6"/>
          <w:ilvl w:val="0"/>
        </w:numPr>
        <w:tabs>
          <w:tab w:val="left" w:pos="993" w:leader="none"/>
        </w:tabs>
        <w:spacing w:line="276" w:lineRule="auto"/>
        <w:ind w:left="0" w:firstLine="709"/>
        <w:contextualSpacing/>
      </w:pPr>
      <w:r>
        <w:t xml:space="preserve">охват обучающихся, привлеченных в отряды Юных инспекторов дорожного движения (ЮИД), составил 3912 обучающихся в 244 объединениях (1,6% от общего количества обучающихся образовательных организаций округа, это на 0,4% меньше, чем в 2023/2024 учебном году; </w:t>
      </w:r>
    </w:p>
    <w:p>
      <w:pPr>
        <w:numPr>
          <w:numId w:val="6"/>
          <w:ilvl w:val="0"/>
        </w:numPr>
        <w:tabs>
          <w:tab w:val="left" w:pos="993" w:leader="none"/>
        </w:tabs>
        <w:spacing w:line="276" w:lineRule="auto"/>
        <w:ind w:left="0" w:firstLine="709"/>
        <w:contextualSpacing/>
      </w:pPr>
      <w:r>
        <w:t xml:space="preserve">в 14317 мероприятиях, относящихся к иным видам внеурочной активности, приняли участие 215314 обучающихся, что составило 89,4% от </w:t>
      </w:r>
      <w:r>
        <w:t xml:space="preserve">общего количества обучающихся образовательных организаций округа, это на 3,0% меньше, чем в 2023/2024 учебном году. </w:t>
      </w:r>
    </w:p>
    <w:p>
      <w:pPr>
        <w:tabs>
          <w:tab w:val="left" w:pos="993" w:leader="none"/>
        </w:tabs>
        <w:spacing w:line="276" w:lineRule="auto"/>
        <w:ind w:firstLine="709"/>
        <w:contextualSpacing/>
      </w:pPr>
      <w:r>
        <w:rPr>
          <w:bCs/>
        </w:rPr>
        <w:t xml:space="preserve">В </w:t>
      </w:r>
      <w:r>
        <w:t xml:space="preserve">2024/2025 учебном году проведена общая профилактическая работа с </w:t>
      </w:r>
      <w:r>
        <w:t xml:space="preserve">324980 родителями (законными представителями) обучающихся. По сравнению с прошлым учебным периодом данное количество родителей увеличилось на 85533 человек (239447 чел.). С указанными родителями (законными представителями) проведены следующие мероприятия: </w:t>
      </w:r>
    </w:p>
    <w:p>
      <w:pPr>
        <w:numPr>
          <w:numId w:val="7"/>
          <w:ilvl w:val="0"/>
        </w:numPr>
        <w:tabs>
          <w:tab w:val="left" w:pos="993" w:leader="none"/>
        </w:tabs>
        <w:spacing w:line="276" w:lineRule="auto"/>
        <w:ind w:left="0" w:firstLine="709"/>
        <w:contextualSpacing/>
      </w:pPr>
      <w:r>
        <w:t xml:space="preserve">психопросветительская</w:t>
      </w:r>
      <w:r>
        <w:t xml:space="preserve"> работа: </w:t>
      </w:r>
      <w:r>
        <w:rPr>
          <w:bCs/>
        </w:rPr>
        <w:t xml:space="preserve">8315</w:t>
      </w:r>
      <w:r>
        <w:t xml:space="preserve"> мероприятий с количеством участников 292482 чел. (</w:t>
      </w:r>
      <w:r>
        <w:rPr>
          <w:bCs/>
        </w:rPr>
        <w:t xml:space="preserve">90,0</w:t>
      </w:r>
      <w:r>
        <w:t xml:space="preserve">% от общего количества родителей (законных представителей), что на 0,9% больше по сравнению с показателем аналогичного периода прошлого учебного года – 89,1%; в прошлом 2024/2025 учебном году – 7928 мероприятие с количеством участников 213384 чел.); </w:t>
      </w:r>
    </w:p>
    <w:p>
      <w:pPr>
        <w:numPr>
          <w:numId w:val="7"/>
          <w:ilvl w:val="0"/>
        </w:numPr>
        <w:tabs>
          <w:tab w:val="left" w:pos="993" w:leader="none"/>
        </w:tabs>
        <w:spacing w:line="276" w:lineRule="auto"/>
        <w:ind w:left="0" w:firstLine="709"/>
        <w:contextualSpacing/>
      </w:pPr>
      <w:r>
        <w:t xml:space="preserve">групповые консультации/приглашение специалистов на встречи </w:t>
      </w:r>
      <w:r>
        <w:br/>
        <w:t xml:space="preserve">с родителями: 2236 мероприятий с количеством участников </w:t>
      </w:r>
      <w:r>
        <w:rPr>
          <w:bCs/>
        </w:rPr>
        <w:t xml:space="preserve">137142</w:t>
      </w:r>
      <w:r>
        <w:t xml:space="preserve"> чел. </w:t>
      </w:r>
      <w:r>
        <w:br/>
        <w:t xml:space="preserve">(42,2% от общего количества родителей (законных представителей), что </w:t>
      </w:r>
      <w:r>
        <w:br/>
        <w:t xml:space="preserve">на 0,3% больше по сравнению с показателем аналогичного периода прошлого учебного года – 41,9%; в прошлом 2023/2024 учебном году – 2180 мероприятий с количеством участников 100444 чел.); </w:t>
      </w:r>
    </w:p>
    <w:p>
      <w:pPr>
        <w:numPr>
          <w:numId w:val="7"/>
          <w:ilvl w:val="0"/>
        </w:numPr>
        <w:tabs>
          <w:tab w:val="left" w:pos="993" w:leader="none"/>
        </w:tabs>
        <w:spacing w:line="276" w:lineRule="auto"/>
        <w:ind w:left="0" w:firstLine="709"/>
        <w:contextualSpacing/>
      </w:pPr>
      <w:r>
        <w:t xml:space="preserve">совместная досуговая деятельность с обучающимися: 3180 мероприятий с количеством участников </w:t>
      </w:r>
      <w:r>
        <w:rPr>
          <w:bCs/>
        </w:rPr>
        <w:t xml:space="preserve">97494</w:t>
      </w:r>
      <w:r>
        <w:t xml:space="preserve"> чел. (30,0% от общего количества родителей (законных представителей), что на 0,6% меньше </w:t>
      </w:r>
      <w:r>
        <w:br/>
        <w:t xml:space="preserve">по сравнению с показателем аналогичного периода прошлого учебного года – 30,6%; в прошлом 2023/2024 учебном году – 3117 мероприятия с количеством участников 73301 чел.); </w:t>
      </w:r>
    </w:p>
    <w:p>
      <w:pPr>
        <w:numPr>
          <w:numId w:val="7"/>
          <w:ilvl w:val="0"/>
        </w:numPr>
        <w:tabs>
          <w:tab w:val="left" w:pos="993" w:leader="none"/>
        </w:tabs>
        <w:spacing w:line="276" w:lineRule="auto"/>
        <w:ind w:left="0" w:firstLine="709"/>
        <w:contextualSpacing/>
      </w:pPr>
      <w:r>
        <w:t xml:space="preserve">содействие педагогам образовательной организации в формировании мотивации у обучающихся к учебной деятельности и здоровому образу жизни: 2710 мероприятий с количеством участников 113743 чел</w:t>
      </w:r>
      <w:r>
        <w:t xml:space="preserve">. (35,0% от общего количества родителей (законных представителей), что на 1,5% больше по сравнению с показателем аналогичного периода прошлого учебного года – 33,5%; в прошлом 2023/2024 учебном году – 2670 мероприятий с количеством участников 80266 чел.); </w:t>
      </w:r>
    </w:p>
    <w:p>
      <w:pPr>
        <w:numPr>
          <w:numId w:val="7"/>
          <w:ilvl w:val="0"/>
        </w:numPr>
        <w:tabs>
          <w:tab w:val="left" w:pos="993" w:leader="none"/>
        </w:tabs>
        <w:spacing w:line="276" w:lineRule="auto"/>
        <w:ind w:left="0" w:firstLine="709"/>
        <w:contextualSpacing/>
      </w:pPr>
      <w:r>
        <w:t xml:space="preserve">«Родительский всеобуч»: 2069 мероприятий с количеством участников 150266 чел. (</w:t>
      </w:r>
      <w:r>
        <w:rPr>
          <w:bCs/>
        </w:rPr>
        <w:t xml:space="preserve">46,3</w:t>
      </w:r>
      <w:r>
        <w:t xml:space="preserve">% от общего количества родителей (законных представителей), что на 1,1% меньше по сравнению с показателем аналогичного периода прошлого учебного года – 47,4%; </w:t>
      </w:r>
      <w:bookmarkStart w:id="2" w:name="_Hlk167442340"/>
      <w:r>
        <w:t xml:space="preserve">в прошлом 2023/2024 учебном году – 2069 мероприятий с количеством участников 113387 чел.</w:t>
      </w:r>
      <w:bookmarkEnd w:id="2"/>
      <w:r>
        <w:t xml:space="preserve">). </w:t>
      </w:r>
    </w:p>
    <w:p>
      <w:pPr>
        <w:tabs>
          <w:tab w:val="left" w:pos="993" w:leader="none"/>
        </w:tabs>
        <w:spacing w:line="276" w:lineRule="auto"/>
        <w:ind w:firstLine="709"/>
        <w:contextualSpacing/>
      </w:pPr>
      <w:r>
        <w:t xml:space="preserve">В 2024/2025 учебном году общее количество обучающихся образовательных организаций Югры, с которыми проведена профилактическ</w:t>
      </w:r>
      <w:r>
        <w:t xml:space="preserve">ая работа по результатам социально-психологического тестирования (далее – СПТ), составило 53290 человек, что в 2 раза больше показателя прошлого года (26645 обучающихся). Профилактическая работа по результатам СПТ была проведена по следующим направлениям: </w:t>
      </w:r>
    </w:p>
    <w:p>
      <w:pPr>
        <w:numPr>
          <w:numId w:val="9"/>
          <w:ilvl w:val="0"/>
        </w:numPr>
        <w:tabs>
          <w:tab w:val="left" w:pos="993" w:leader="none"/>
        </w:tabs>
        <w:spacing w:line="276" w:lineRule="auto"/>
        <w:ind w:left="0" w:firstLine="709"/>
        <w:contextualSpacing/>
      </w:pPr>
      <w:r>
        <w:t xml:space="preserve">психодиагностическая работа: </w:t>
      </w:r>
    </w:p>
    <w:p>
      <w:pPr>
        <w:tabs>
          <w:tab w:val="left" w:pos="993" w:leader="none"/>
        </w:tabs>
        <w:spacing w:line="276" w:lineRule="auto"/>
        <w:ind w:firstLine="709"/>
        <w:contextualSpacing/>
      </w:pPr>
      <w:r>
        <w:t xml:space="preserve">-</w:t>
      </w:r>
      <w:r>
        <w:tab/>
        <w:t xml:space="preserve">в первичной диагностике приняли участие 45829 обучающихся (86,0% от общего количества обучающихся образовательных организаций, </w:t>
      </w:r>
      <w:r>
        <w:br/>
        <w:t xml:space="preserve">с которыми проведена профилактическая работа по результатам СПТ, аналогичный показатель прошлого 2023/2024 учебного года составил 22850 обучающихся, что в 2 раза ниже показателя текущего учебного года). </w:t>
      </w:r>
    </w:p>
    <w:p>
      <w:pPr>
        <w:spacing w:line="276" w:lineRule="auto"/>
        <w:ind w:firstLine="709"/>
        <w:contextualSpacing/>
      </w:pPr>
      <w:r>
        <w:t xml:space="preserve">Из них нуждались в коррекционной работе – </w:t>
      </w:r>
      <w:r>
        <w:rPr>
          <w:bCs/>
        </w:rPr>
        <w:t xml:space="preserve">6395</w:t>
      </w:r>
      <w:r>
        <w:t xml:space="preserve"> обучающихся </w:t>
      </w:r>
      <w:r>
        <w:br/>
        <w:t xml:space="preserve">(12,0% от общего количества обучающихся в образовательных организациях, </w:t>
      </w:r>
      <w:r>
        <w:br/>
      </w:r>
      <w:r>
        <w:t xml:space="preserve">с которыми проведена профилактическая работа по результатам СПТ, что на 0,8% меньше показателя прошлого года, т.к. в 2023/2024 учебном году нуждаемость в коррекционной работе после проведения первичной диагностики испытывали 3398 обучающихся, т.е. 12,8%); </w:t>
      </w:r>
    </w:p>
    <w:p>
      <w:pPr>
        <w:spacing w:line="276" w:lineRule="auto"/>
        <w:ind w:firstLine="709"/>
        <w:contextualSpacing/>
      </w:pPr>
      <w:r>
        <w:t xml:space="preserve">-</w:t>
      </w:r>
      <w:r>
        <w:tab/>
        <w:t xml:space="preserve">в итоговой диагностике участвовало 16520 обучающихся </w:t>
      </w:r>
      <w:r>
        <w:br/>
        <w:t xml:space="preserve">(31,0% от общего количества обучающихся в образовательных организациях, </w:t>
      </w:r>
      <w:r>
        <w:br/>
        <w:t xml:space="preserve">с </w:t>
      </w:r>
      <w:r>
        <w:t xml:space="preserve">которыми проведена профилактическая работа по результатам СПТ, что в 3 раза меньше, чем участвовало в первичной диагностике). Аналогичный показатель прошлого 2023/2024 учебного года составлял 8255 чел., что в 2 раза ниже показателя текущего учебного года. </w:t>
      </w:r>
    </w:p>
    <w:p>
      <w:pPr>
        <w:spacing w:line="276" w:lineRule="auto"/>
        <w:ind w:firstLine="709"/>
        <w:contextualSpacing/>
      </w:pPr>
      <w:r>
        <w:t xml:space="preserve">Из них продолжили нуждаться в коррекционной работе </w:t>
      </w:r>
      <w:r>
        <w:rPr>
          <w:bCs/>
        </w:rPr>
        <w:t xml:space="preserve">1332</w:t>
      </w:r>
      <w:r>
        <w:t xml:space="preserve"> обучающихся (2,5% от общего количества обучающихся в образовательных организациях, с которыми проведена профилактическая работа по результатам СПТ, что на 0,1% мень</w:t>
      </w:r>
      <w:r>
        <w:t xml:space="preserve">ше показателя прошлого года и в 4 раза меньше количества нуждающихся после первичной диагностики; в прошлом 2023/2024 учебном году нуждаемость в коррекционной работе после проведения итоговой диагностики испытывали 700 обучающихся, т.е. 2,6% (26645 чел.); </w:t>
      </w:r>
    </w:p>
    <w:p>
      <w:pPr>
        <w:numPr>
          <w:numId w:val="9"/>
          <w:ilvl w:val="0"/>
        </w:numPr>
        <w:tabs>
          <w:tab w:val="left" w:pos="993" w:leader="none"/>
        </w:tabs>
        <w:spacing w:line="276" w:lineRule="auto"/>
        <w:ind w:left="0" w:firstLine="709"/>
        <w:contextualSpacing/>
        <w:rPr>
          <w:rFonts w:eastAsia="Calibri"/>
          <w:lang w:eastAsia="en-US"/>
        </w:rPr>
      </w:pPr>
      <w:r>
        <w:rPr>
          <w:rFonts w:eastAsia="Calibri"/>
          <w:lang w:eastAsia="en-US"/>
        </w:rPr>
        <w:t xml:space="preserve">психопросветительская</w:t>
      </w:r>
      <w:r>
        <w:rPr>
          <w:rFonts w:eastAsia="Calibri"/>
          <w:lang w:eastAsia="en-US"/>
        </w:rPr>
        <w:t xml:space="preserve"> работа: проведено индивидуальных занятий 29869 (в 2024 году – 11854), групповых – 5835 (в 2024 году – 3803), охвачено 17613 (в 2024 году – 17613 обучающихся). В текущем отчетном периоде охвачено 67,0% </w:t>
      </w:r>
      <w:bookmarkStart w:id="3" w:name="_Hlk167447027"/>
      <w:r>
        <w:rPr>
          <w:rFonts w:eastAsia="Calibri"/>
          <w:lang w:eastAsia="en-US"/>
        </w:rPr>
        <w:t xml:space="preserve">от общего количества обучающихся в образовательных организациях, с которыми проведена профилактическая работа по результатам </w:t>
      </w:r>
      <w:r>
        <w:rPr>
          <w:rFonts w:eastAsia="Calibri"/>
          <w:lang w:eastAsia="en-US"/>
        </w:rPr>
        <w:t xml:space="preserve">СПТ, в прошлом году показатель количества участников составлял 66,1%, что на </w:t>
      </w:r>
      <w:bookmarkEnd w:id="3"/>
      <w:r>
        <w:rPr>
          <w:rFonts w:eastAsia="Calibri"/>
          <w:lang w:eastAsia="en-US"/>
        </w:rPr>
        <w:t xml:space="preserve">0,9% ниже; </w:t>
      </w:r>
      <w:r>
        <w:rPr>
          <w:rFonts w:eastAsia="Calibri"/>
          <w:lang w:eastAsia="en-US"/>
        </w:rPr>
      </w:r>
    </w:p>
    <w:p>
      <w:pPr>
        <w:numPr>
          <w:numId w:val="9"/>
          <w:ilvl w:val="0"/>
        </w:numPr>
        <w:tabs>
          <w:tab w:val="left" w:pos="993" w:leader="none"/>
        </w:tabs>
        <w:spacing w:line="276" w:lineRule="auto"/>
        <w:ind w:left="0" w:firstLine="709"/>
        <w:contextualSpacing/>
      </w:pPr>
      <w:r>
        <w:t xml:space="preserve">психокоррекционная</w:t>
      </w:r>
      <w:r>
        <w:t xml:space="preserve"> работа: общее количество планов, программ, тренингов – 2425 ед. (показатель 2024 года – 2343 ед.), количество обучающихся, в отношении которых разработаны документы и проведена работа – </w:t>
      </w:r>
      <w:r>
        <w:rPr>
          <w:bCs/>
        </w:rPr>
        <w:t xml:space="preserve">8633</w:t>
      </w:r>
      <w:r>
        <w:t xml:space="preserve"> чел. (показатель 2024 года – 4140 чел.). В текущем отчетном периоде </w:t>
      </w:r>
      <w:r>
        <w:t xml:space="preserve">психокоррекционной</w:t>
      </w:r>
      <w:r>
        <w:t xml:space="preserve"> работ</w:t>
      </w:r>
      <w:r>
        <w:t xml:space="preserve">ой охвачено 16,2% от общего количества обучающихся в образовательных организациях, с которыми проведена профилактическая работа по результатам СПТ, показатель количества участников прошлого года – 15,5%, что на 0,7% выше показателя текущего учебного года; </w:t>
      </w:r>
    </w:p>
    <w:p>
      <w:pPr>
        <w:numPr>
          <w:numId w:val="9"/>
          <w:ilvl w:val="0"/>
        </w:numPr>
        <w:tabs>
          <w:tab w:val="left" w:pos="993" w:leader="none"/>
        </w:tabs>
        <w:spacing w:line="276" w:lineRule="auto"/>
        <w:ind w:left="0" w:firstLine="709"/>
        <w:contextualSpacing/>
      </w:pPr>
      <w:r>
        <w:t xml:space="preserve">консультирование обучающихся узкими специалистами по вопросам профилактики употребления НС и ПАВ: количество консультаций – 5812 (прошлогодний показатель – 5441), количество обучающихся, получивших консультацию – </w:t>
      </w:r>
      <w:r>
        <w:rPr>
          <w:bCs/>
        </w:rPr>
        <w:t xml:space="preserve">11724</w:t>
      </w:r>
      <w:r>
        <w:t xml:space="preserve"> чел. (22% от общ</w:t>
      </w:r>
      <w:r>
        <w:t xml:space="preserve">его количества обучающихся в образовательных организациях, с которыми проведена профилактическая работа по результатам СПТ). Показатель 2024 года – 5441 консультаций, что составляло 21,8%, это на 0,2% ниже, чем показатель текущего 2024/2025 учебного года. </w:t>
      </w:r>
    </w:p>
    <w:p>
      <w:pPr>
        <w:numPr>
          <w:numId w:val="9"/>
          <w:ilvl w:val="0"/>
        </w:numPr>
        <w:tabs>
          <w:tab w:val="left" w:pos="993" w:leader="none"/>
        </w:tabs>
        <w:spacing w:line="276" w:lineRule="auto"/>
        <w:ind w:left="0" w:firstLine="709"/>
        <w:contextualSpacing/>
      </w:pPr>
      <w:r>
        <w:t xml:space="preserve">34106 обучающихся охвачены программами дополнительного образования (64,0% от общего количества обучающихся в образовательных организациях</w:t>
      </w:r>
      <w:r>
        <w:t xml:space="preserve">, с которыми проведена профилактическая работа по результатам СПТ, в 1989 объединениях, кружках, секциях и т.д.). Показатель прошлого года – 17091 обучающихся (64,1%) в 1910 объединениях, кружках, секциях и т.д., что на 0,1% ниже показателя текущего года; </w:t>
      </w:r>
    </w:p>
    <w:p>
      <w:pPr>
        <w:numPr>
          <w:numId w:val="9"/>
          <w:ilvl w:val="0"/>
        </w:numPr>
        <w:tabs>
          <w:tab w:val="left" w:pos="993" w:leader="none"/>
        </w:tabs>
        <w:spacing w:line="276" w:lineRule="auto"/>
        <w:ind w:left="0" w:firstLine="709"/>
        <w:contextualSpacing/>
      </w:pPr>
      <w:r>
        <w:t xml:space="preserve">37463 чел. приняли участие в </w:t>
      </w:r>
      <w:r>
        <w:rPr>
          <w:bCs/>
        </w:rPr>
        <w:t xml:space="preserve">4715</w:t>
      </w:r>
      <w:r>
        <w:t xml:space="preserve"> культурно-массовых мероприятиях, что составило </w:t>
      </w:r>
      <w:r>
        <w:rPr>
          <w:bCs/>
        </w:rPr>
        <w:t xml:space="preserve">70,3</w:t>
      </w:r>
      <w:r>
        <w:t xml:space="preserve">% от общего количества обучающихся </w:t>
      </w:r>
      <w:r>
        <w:br/>
        <w:t xml:space="preserve">в образовательных организациях, с которыми проведена профилактическая работа по результатам СПТ, количество участников 2024 года – 18466 чел. в 3395 мероприятиях (69,2%), что на 1,1% выше показателя текущего учебного года; </w:t>
      </w:r>
    </w:p>
    <w:p>
      <w:pPr>
        <w:numPr>
          <w:numId w:val="9"/>
          <w:ilvl w:val="0"/>
        </w:numPr>
        <w:tabs>
          <w:tab w:val="left" w:pos="993" w:leader="none"/>
        </w:tabs>
        <w:spacing w:line="276" w:lineRule="auto"/>
        <w:ind w:left="0" w:firstLine="709"/>
        <w:contextualSpacing/>
      </w:pPr>
      <w:r>
        <w:t xml:space="preserve">39968 чел. приняли участие в </w:t>
      </w:r>
      <w:r>
        <w:rPr>
          <w:bCs/>
        </w:rPr>
        <w:t xml:space="preserve">3517</w:t>
      </w:r>
      <w:r>
        <w:t xml:space="preserve"> спортивных мероприятиях, что сост</w:t>
      </w:r>
      <w:r>
        <w:t xml:space="preserve">авило 75,0% от общего количества обучающихся в образовательных организациях, с которыми проведена профилактическая работа по результатам СПТ, количество участников в 2024 году – 19503 чел. в 1928 мероприятии (73,2%), что на 1,8% выше показателя 2025 года; </w:t>
      </w:r>
    </w:p>
    <w:p>
      <w:pPr>
        <w:numPr>
          <w:numId w:val="9"/>
          <w:ilvl w:val="0"/>
        </w:numPr>
        <w:tabs>
          <w:tab w:val="left" w:pos="993" w:leader="none"/>
        </w:tabs>
        <w:spacing w:line="276" w:lineRule="auto"/>
        <w:ind w:left="0" w:firstLine="709"/>
        <w:contextualSpacing/>
      </w:pPr>
      <w:r>
        <w:t xml:space="preserve">15081 обучающихся привлечены к волонтерской/ шефской работе </w:t>
      </w:r>
      <w:r>
        <w:br/>
        <w:t xml:space="preserve">в 458 </w:t>
      </w:r>
      <w:bookmarkStart w:id="4" w:name="_Hlk167461956"/>
      <w:r>
        <w:t xml:space="preserve">волонтерских объединени</w:t>
      </w:r>
      <w:bookmarkEnd w:id="4"/>
      <w:r>
        <w:t xml:space="preserve">й, это 28,3% от</w:t>
      </w:r>
      <w:r>
        <w:t xml:space="preserve"> общего количества обучающихся в образовательных организациях, с которыми проведена профилактическая работа по результатам СПТ, количество участников прошлого года – 6938 чел. в 429 волонтерских объединениях (26,0%), что на 2,3% выше показателя 2025 года; </w:t>
      </w:r>
    </w:p>
    <w:p>
      <w:pPr>
        <w:numPr>
          <w:numId w:val="9"/>
          <w:ilvl w:val="0"/>
        </w:numPr>
        <w:tabs>
          <w:tab w:val="left" w:pos="993" w:leader="none"/>
        </w:tabs>
        <w:spacing w:line="276" w:lineRule="auto"/>
        <w:ind w:left="0" w:firstLine="709"/>
        <w:contextualSpacing/>
      </w:pPr>
      <w:r>
        <w:t xml:space="preserve">35995 чел. охвачены иными видами внеурочной активности </w:t>
      </w:r>
      <w:r>
        <w:br/>
        <w:t xml:space="preserve">(65,7% от общего количества обучающихся в образовательных организациях, </w:t>
      </w:r>
      <w:r>
        <w:br/>
        <w:t xml:space="preserve">с которыми проведена профилактическая работа по результатам СПТ; количество объединений/ мероприятий – </w:t>
      </w:r>
      <w:r>
        <w:rPr>
          <w:bCs/>
        </w:rPr>
        <w:t xml:space="preserve">4859</w:t>
      </w:r>
      <w:r>
        <w:t xml:space="preserve"> ед. Показатель количества участников прошлого года – 17107 чел. в 34</w:t>
      </w:r>
      <w:r>
        <w:t xml:space="preserve">63 объединениях, курсах, кружках, клубах, секциях, что составляло 64,2% от общего количества обучающихся в образовательных организациях, с которыми проведена профилактическая работа по результатам СПТ, это на 1,5% больше показателя текущего учебного года. </w:t>
      </w:r>
    </w:p>
    <w:p>
      <w:pPr>
        <w:spacing w:line="276" w:lineRule="auto"/>
        <w:ind w:firstLine="709"/>
        <w:contextualSpacing/>
      </w:pPr>
      <w:r>
        <w:t xml:space="preserve">В 2024/2025 учебном году общее количество родителей (законных представителей) о</w:t>
      </w:r>
      <w:r>
        <w:t xml:space="preserve">бучающихся образовательных организаций округа, с которыми осуществлялась профилактическая работа по результатам СПТ, составило 30873 чел., это 9,5% от общего количества родителей (законных представителей), задействованных в профилактической работе, направл</w:t>
      </w:r>
      <w:r>
        <w:t xml:space="preserve">енной на профилактику немедицинского потребления наркотических средств и психоактивных веществ (324980 чел.). За АППГ количество участников из числа родителей (законных представителей) составляло 20534 чел., на 0,9% ниже показателя текущего учебного года. </w:t>
      </w:r>
    </w:p>
    <w:p>
      <w:pPr>
        <w:shd w:val="clear" w:color="auto" w:fill="ffffff"/>
        <w:spacing w:line="276" w:lineRule="auto"/>
        <w:ind w:firstLine="709"/>
        <w:rPr>
          <w:rFonts w:eastAsia="Calibri"/>
          <w:lang w:eastAsia="en-US"/>
        </w:rPr>
      </w:pPr>
      <w:r>
        <w:rPr>
          <w:rFonts w:eastAsia="Calibri"/>
          <w:lang w:eastAsia="en-US"/>
        </w:rPr>
        <w:t xml:space="preserve">Профилактическая работа, проведенная с обучающимися, у которых</w:t>
      </w:r>
      <w:r>
        <w:t xml:space="preserve"> по итогам СПТ выявлена высокая вероятность рискового поведения («группа риска»),</w:t>
      </w:r>
      <w:r>
        <w:rPr>
          <w:rFonts w:eastAsia="Calibri"/>
          <w:lang w:eastAsia="en-US"/>
        </w:rPr>
        <w:t xml:space="preserve"> </w:t>
      </w:r>
      <w:r>
        <w:t xml:space="preserve">и их родителями (законными представителями)</w:t>
      </w:r>
      <w:r>
        <w:rPr>
          <w:rFonts w:eastAsia="Calibri"/>
          <w:lang w:eastAsia="en-US"/>
        </w:rPr>
        <w:t xml:space="preserve">, показывает положительную динамику снижения количества детей с высокими показателями </w:t>
      </w:r>
      <w:r>
        <w:rPr>
          <w:rFonts w:eastAsia="Calibri"/>
          <w:lang w:eastAsia="en-US"/>
        </w:rPr>
        <w:t xml:space="preserve">рискогенности</w:t>
      </w:r>
      <w:r>
        <w:rPr>
          <w:rFonts w:eastAsia="Calibri"/>
          <w:lang w:eastAsia="en-US"/>
        </w:rPr>
        <w:t xml:space="preserve">. </w:t>
      </w:r>
      <w:r>
        <w:rPr>
          <w:rFonts w:eastAsia="Calibri"/>
          <w:lang w:eastAsia="en-US"/>
        </w:rPr>
      </w:r>
    </w:p>
    <w:p>
      <w:pPr>
        <w:spacing w:line="276" w:lineRule="auto"/>
        <w:ind w:firstLine="709"/>
        <w:contextualSpacing/>
      </w:pPr>
      <w:r>
        <w:t xml:space="preserve">В 2024/2025 учебном году в образовательных организациях проводились мероприятия, направленные на формирование профессиональных компетенций педагогических работников, осуществляющих свою работу в сфере профилактики </w:t>
      </w:r>
      <w:r>
        <w:t xml:space="preserve">социальных рисков</w:t>
      </w:r>
      <w:r>
        <w:t xml:space="preserve"> обучающихся по следующим направлениям: </w:t>
      </w:r>
    </w:p>
    <w:p>
      <w:pPr>
        <w:numPr>
          <w:numId w:val="9"/>
          <w:ilvl w:val="0"/>
        </w:numPr>
        <w:tabs>
          <w:tab w:val="left" w:pos="993" w:leader="none"/>
        </w:tabs>
        <w:spacing w:line="276" w:lineRule="auto"/>
        <w:ind w:left="0" w:firstLine="709"/>
        <w:contextualSpacing/>
      </w:pPr>
      <w:r>
        <w:t xml:space="preserve">формирование представлений о компонентах безопасной образовательной среды: количество мероприятий – 753 ед. (показатель прошлого учебного года – 704 ед.), количество участвовавших педагогов – </w:t>
      </w:r>
      <w:r>
        <w:t xml:space="preserve">10279 чел. (показатель прошлого учебного года – 10177 чел.), что в 1,01 раза ниже </w:t>
      </w:r>
      <w:bookmarkStart w:id="5" w:name="_Hlk167962561"/>
      <w:r>
        <w:t xml:space="preserve">показателя 2024/2025 учебного года; </w:t>
      </w:r>
      <w:bookmarkEnd w:id="5"/>
    </w:p>
    <w:p>
      <w:pPr>
        <w:numPr>
          <w:numId w:val="9"/>
          <w:ilvl w:val="0"/>
        </w:numPr>
        <w:tabs>
          <w:tab w:val="left" w:pos="993" w:leader="none"/>
        </w:tabs>
        <w:spacing w:line="276" w:lineRule="auto"/>
        <w:ind w:left="0" w:firstLine="709"/>
        <w:contextualSpacing/>
      </w:pPr>
      <w:r>
        <w:t xml:space="preserve">формирование представлений о правилах психолого-педагогического общ</w:t>
      </w:r>
      <w:r>
        <w:t xml:space="preserve">ения с обучающимися: количество мероприятий – 571 ед. (показатель прошлого учебного года – 562 ед.), количество участвовавших педагогов – 10448 чел. (показатель прошлого учебного года – 10243 чел.), что в 1,02 раза ниже показателя 2024/2025 учебного года; </w:t>
      </w:r>
    </w:p>
    <w:p>
      <w:pPr>
        <w:numPr>
          <w:numId w:val="9"/>
          <w:ilvl w:val="0"/>
        </w:numPr>
        <w:tabs>
          <w:tab w:val="left" w:pos="993" w:leader="none"/>
        </w:tabs>
        <w:spacing w:line="276" w:lineRule="auto"/>
        <w:ind w:left="0" w:firstLine="709"/>
        <w:contextualSpacing/>
      </w:pPr>
      <w:r>
        <w:t xml:space="preserve">формирование представлений о рисках отклоняющегося поведения:</w:t>
      </w:r>
      <w:r>
        <w:t xml:space="preserve"> количество мероприятий – 583 ед. (показатель прошлого учебного года – 567 ед.), количество принявших участие педагогических работников – 10644 чел. (показатель прошлого учебного года – 10235 чел.), что в 1,04 раза ниже показателя 2025/2026 учебного года; </w:t>
      </w:r>
    </w:p>
    <w:p>
      <w:pPr>
        <w:numPr>
          <w:numId w:val="9"/>
          <w:ilvl w:val="0"/>
        </w:numPr>
        <w:tabs>
          <w:tab w:val="left" w:pos="993" w:leader="none"/>
        </w:tabs>
        <w:spacing w:line="276" w:lineRule="auto"/>
        <w:ind w:left="0" w:firstLine="709"/>
        <w:contextualSpacing/>
      </w:pPr>
      <w:r>
        <w:t xml:space="preserve">развитие профилактической компетен</w:t>
      </w:r>
      <w:r>
        <w:t xml:space="preserve">тности педагогов: количество мероприятий – 592 ед. (показатель прошлого учебного года – 573 ед.), количество принявших участие педагогов – 10295 чел. (показатель прошлого учебного года – 9995 чел.), что в 1,03 раза выше показателя 2024/2025 учебного года. </w:t>
      </w:r>
    </w:p>
    <w:p>
      <w:pPr>
        <w:tabs>
          <w:tab w:val="left" w:pos="993" w:leader="none"/>
        </w:tabs>
        <w:spacing w:line="276" w:lineRule="auto"/>
        <w:ind w:firstLine="709"/>
        <w:rPr>
          <w:bCs/>
        </w:rPr>
      </w:pPr>
      <w:r>
        <w:rPr>
          <w:bCs/>
        </w:rPr>
        <w:t xml:space="preserve">В 2024/2025 учебном году в образовательных организациях Югры проведены мероприятия, направленные на профилактику распространения </w:t>
      </w:r>
      <w:r>
        <w:rPr>
          <w:bCs/>
        </w:rPr>
        <w:br/>
        <w:t xml:space="preserve">ВИЧ-инфекции: </w:t>
      </w:r>
      <w:r>
        <w:rPr>
          <w:bCs/>
        </w:rPr>
      </w:r>
    </w:p>
    <w:p>
      <w:pPr>
        <w:numPr>
          <w:numId w:val="8"/>
          <w:ilvl w:val="0"/>
        </w:numPr>
        <w:tabs>
          <w:tab w:val="left" w:pos="993" w:leader="none"/>
        </w:tabs>
        <w:spacing w:line="276" w:lineRule="auto"/>
        <w:ind w:left="0" w:firstLine="709"/>
        <w:contextualSpacing/>
        <w:rPr>
          <w:bCs/>
        </w:rPr>
      </w:pPr>
      <w:r>
        <w:rPr>
          <w:bCs/>
        </w:rPr>
        <w:t xml:space="preserve">1993 лекции по вопросам профилактики ВИЧ-инфекции, </w:t>
      </w:r>
      <w:r>
        <w:rPr>
          <w:bCs/>
        </w:rPr>
        <w:br/>
        <w:t xml:space="preserve">103512 участников из числа обучающихся </w:t>
      </w:r>
      <w:r>
        <w:t xml:space="preserve">(43,0% от общего количества обучающихся образовательных организаций округа, что на 0,9% больше </w:t>
      </w:r>
      <w:r>
        <w:br/>
        <w:t xml:space="preserve">по сравнению с показателем аналогичного периода прошлого учебного года – 42,1%; в прошлом 2023/2024 учебном году </w:t>
      </w:r>
      <w:r>
        <w:rPr>
          <w:bCs/>
        </w:rPr>
        <w:t xml:space="preserve">1962</w:t>
      </w:r>
      <w:r>
        <w:t xml:space="preserve"> мероприятий с количеством участников </w:t>
      </w:r>
      <w:r>
        <w:rPr>
          <w:bCs/>
        </w:rPr>
        <w:t xml:space="preserve">76959</w:t>
      </w:r>
      <w:r>
        <w:t xml:space="preserve"> чел.</w:t>
      </w:r>
      <w:r>
        <w:rPr>
          <w:bCs/>
        </w:rPr>
        <w:t xml:space="preserve">); </w:t>
      </w:r>
      <w:r>
        <w:rPr>
          <w:bCs/>
        </w:rPr>
      </w:r>
    </w:p>
    <w:p>
      <w:pPr>
        <w:numPr>
          <w:numId w:val="8"/>
          <w:ilvl w:val="0"/>
        </w:numPr>
        <w:tabs>
          <w:tab w:val="left" w:pos="993" w:leader="none"/>
        </w:tabs>
        <w:spacing w:line="276" w:lineRule="auto"/>
        <w:ind w:left="0" w:firstLine="709"/>
        <w:contextualSpacing/>
        <w:rPr>
          <w:bCs/>
        </w:rPr>
      </w:pPr>
      <w:r>
        <w:rPr>
          <w:bCs/>
        </w:rPr>
        <w:t xml:space="preserve">383 Всероссийских акций («СТОПВИЧСПИД», «Красная лента» </w:t>
      </w:r>
      <w:r>
        <w:rPr>
          <w:bCs/>
        </w:rPr>
        <w:br/>
        <w:t xml:space="preserve">и др.), </w:t>
      </w:r>
      <w:r>
        <w:t xml:space="preserve">100142</w:t>
      </w:r>
      <w:r>
        <w:rPr>
          <w:bCs/>
        </w:rPr>
        <w:t xml:space="preserve"> участника из числа обучающихся (41,6% от общего количества обучающихся </w:t>
      </w:r>
      <w:r>
        <w:t xml:space="preserve">образовательных организаций округа, что на 1,7% больше </w:t>
      </w:r>
      <w:r>
        <w:br/>
        <w:t xml:space="preserve">по сравнению с показателем аналогичного периода прошлого учебного года</w:t>
      </w:r>
      <w:r>
        <w:rPr>
          <w:bCs/>
        </w:rPr>
        <w:t xml:space="preserve"> – 39,9%; </w:t>
      </w:r>
      <w:r>
        <w:t xml:space="preserve">в прошлом 2023/2024 учебном году – </w:t>
      </w:r>
      <w:r>
        <w:rPr>
          <w:bCs/>
        </w:rPr>
        <w:t xml:space="preserve">375</w:t>
      </w:r>
      <w:r>
        <w:t xml:space="preserve"> мероприятий с количеством участников 71820 чел.</w:t>
      </w:r>
      <w:r>
        <w:rPr>
          <w:bCs/>
        </w:rPr>
        <w:t xml:space="preserve">); </w:t>
      </w:r>
      <w:r>
        <w:rPr>
          <w:bCs/>
        </w:rPr>
      </w:r>
    </w:p>
    <w:p>
      <w:pPr>
        <w:numPr>
          <w:numId w:val="8"/>
          <w:ilvl w:val="0"/>
        </w:numPr>
        <w:tabs>
          <w:tab w:val="left" w:pos="993" w:leader="none"/>
        </w:tabs>
        <w:spacing w:line="276" w:lineRule="auto"/>
        <w:ind w:left="0" w:firstLine="709"/>
        <w:contextualSpacing/>
        <w:rPr>
          <w:bCs/>
        </w:rPr>
      </w:pPr>
      <w:r>
        <w:rPr>
          <w:bCs/>
        </w:rPr>
        <w:t xml:space="preserve">267 Единых урока «СТОП ВИЧ – СПИД» с привлечением волонтеров-медиков, </w:t>
      </w:r>
      <w:r>
        <w:t xml:space="preserve">51275</w:t>
      </w:r>
      <w:r>
        <w:rPr>
          <w:bCs/>
        </w:rPr>
        <w:t xml:space="preserve"> участников из числа обучающихся </w:t>
      </w:r>
      <w:r>
        <w:rPr>
          <w:bCs/>
        </w:rPr>
        <w:br/>
        <w:t xml:space="preserve">(21,3% от общего количества обучающихся </w:t>
      </w:r>
      <w:r>
        <w:t xml:space="preserve">образовательных организаций округа, что на 0,1% больше по сравнению с показателем аналогичного периода </w:t>
      </w:r>
      <w:r>
        <w:t xml:space="preserve">прошлого учебного года </w:t>
      </w:r>
      <w:r>
        <w:rPr>
          <w:bCs/>
        </w:rPr>
        <w:t xml:space="preserve">– 21,2%; </w:t>
      </w:r>
      <w:r>
        <w:t xml:space="preserve">в прошлом 2023/2024 учебном году – </w:t>
      </w:r>
      <w:r>
        <w:rPr>
          <w:bCs/>
        </w:rPr>
        <w:t xml:space="preserve">243</w:t>
      </w:r>
      <w:r>
        <w:t xml:space="preserve"> мероприятия с количеством участников </w:t>
      </w:r>
      <w:r>
        <w:rPr>
          <w:bCs/>
        </w:rPr>
        <w:t xml:space="preserve">38688</w:t>
      </w:r>
      <w:r>
        <w:t xml:space="preserve"> чел.</w:t>
      </w:r>
      <w:r>
        <w:rPr>
          <w:bCs/>
        </w:rPr>
        <w:t xml:space="preserve">); </w:t>
      </w:r>
      <w:r>
        <w:rPr>
          <w:bCs/>
        </w:rPr>
      </w:r>
    </w:p>
    <w:p>
      <w:pPr>
        <w:numPr>
          <w:numId w:val="8"/>
          <w:ilvl w:val="0"/>
        </w:numPr>
        <w:tabs>
          <w:tab w:val="left" w:pos="993" w:leader="none"/>
        </w:tabs>
        <w:spacing w:line="276" w:lineRule="auto"/>
        <w:ind w:left="0" w:firstLine="709"/>
        <w:contextualSpacing/>
        <w:rPr>
          <w:bCs/>
        </w:rPr>
      </w:pPr>
      <w:r>
        <w:rPr>
          <w:bCs/>
        </w:rPr>
        <w:t xml:space="preserve">368 опросов обучающихся по уровню информированности </w:t>
      </w:r>
      <w:r>
        <w:rPr>
          <w:bCs/>
        </w:rPr>
        <w:br/>
        <w:t xml:space="preserve">о ВИЧ-инфекции, </w:t>
      </w:r>
      <w:r>
        <w:t xml:space="preserve">59218</w:t>
      </w:r>
      <w:r>
        <w:rPr>
          <w:bCs/>
        </w:rPr>
        <w:t xml:space="preserve"> участников из числа обучающихся (24,7% от общего количества обучающихся </w:t>
      </w:r>
      <w:r>
        <w:t xml:space="preserve">образовательных организаций округа, что </w:t>
      </w:r>
      <w:r>
        <w:br/>
        <w:t xml:space="preserve">на 1,2% больше по сравнению с показателем аналогичного периода прошлого учебного года </w:t>
      </w:r>
      <w:r>
        <w:rPr>
          <w:bCs/>
        </w:rPr>
        <w:t xml:space="preserve">– 23,5%; </w:t>
      </w:r>
      <w:r>
        <w:t xml:space="preserve">в прошлом 2023/2024 учебном году – </w:t>
      </w:r>
      <w:r>
        <w:rPr>
          <w:bCs/>
        </w:rPr>
        <w:t xml:space="preserve">408</w:t>
      </w:r>
      <w:r>
        <w:t xml:space="preserve"> опросов </w:t>
      </w:r>
      <w:r>
        <w:br/>
        <w:t xml:space="preserve">с количеством участников </w:t>
      </w:r>
      <w:r>
        <w:rPr>
          <w:bCs/>
        </w:rPr>
        <w:t xml:space="preserve">42881</w:t>
      </w:r>
      <w:r>
        <w:t xml:space="preserve"> чел.</w:t>
      </w:r>
      <w:r>
        <w:rPr>
          <w:bCs/>
        </w:rPr>
        <w:t xml:space="preserve">); </w:t>
      </w:r>
      <w:r>
        <w:rPr>
          <w:bCs/>
        </w:rPr>
      </w:r>
    </w:p>
    <w:p>
      <w:pPr>
        <w:numPr>
          <w:numId w:val="8"/>
          <w:ilvl w:val="0"/>
        </w:numPr>
        <w:tabs>
          <w:tab w:val="left" w:pos="993" w:leader="none"/>
        </w:tabs>
        <w:spacing w:line="276" w:lineRule="auto"/>
        <w:ind w:left="0" w:firstLine="709"/>
        <w:contextualSpacing/>
        <w:rPr>
          <w:bCs/>
        </w:rPr>
      </w:pPr>
      <w:r>
        <w:rPr>
          <w:bCs/>
        </w:rPr>
        <w:t xml:space="preserve">534 родительских собрания по вопросам профилактики </w:t>
      </w:r>
      <w:r>
        <w:rPr>
          <w:bCs/>
        </w:rPr>
        <w:br/>
        <w:t xml:space="preserve">ВИЧ-инфекции, </w:t>
      </w:r>
      <w:r>
        <w:t xml:space="preserve">87744</w:t>
      </w:r>
      <w:r>
        <w:rPr>
          <w:bCs/>
        </w:rPr>
        <w:t xml:space="preserve"> участников из числа родителей (законных представителей) обучающихся (27,0% от общего их количества</w:t>
      </w:r>
      <w:r>
        <w:t xml:space="preserve">, что на 1,4% больше по сравнению с показателем аналогичного периода прошлого учебного года </w:t>
      </w:r>
      <w:r>
        <w:rPr>
          <w:bCs/>
        </w:rPr>
        <w:t xml:space="preserve">– 25,6%; </w:t>
      </w:r>
      <w:bookmarkStart w:id="6" w:name="_Hlk167443189"/>
      <w:r>
        <w:t xml:space="preserve">в прошлом 2023/2024 учебном году – </w:t>
      </w:r>
      <w:r>
        <w:rPr>
          <w:bCs/>
        </w:rPr>
        <w:t xml:space="preserve">502 </w:t>
      </w:r>
      <w:r>
        <w:t xml:space="preserve">родительских собрания с количеством участников </w:t>
      </w:r>
      <w:r>
        <w:rPr>
          <w:bCs/>
        </w:rPr>
        <w:t xml:space="preserve">61220 </w:t>
      </w:r>
      <w:r>
        <w:t xml:space="preserve">чел.</w:t>
      </w:r>
      <w:bookmarkEnd w:id="6"/>
      <w:r>
        <w:rPr>
          <w:bCs/>
        </w:rPr>
        <w:t xml:space="preserve">); </w:t>
      </w:r>
      <w:r>
        <w:rPr>
          <w:bCs/>
        </w:rPr>
      </w:r>
    </w:p>
    <w:p>
      <w:pPr>
        <w:numPr>
          <w:numId w:val="8"/>
          <w:ilvl w:val="0"/>
        </w:numPr>
        <w:tabs>
          <w:tab w:val="left" w:pos="993" w:leader="none"/>
        </w:tabs>
        <w:spacing w:line="276" w:lineRule="auto"/>
        <w:ind w:left="0" w:firstLine="709"/>
        <w:contextualSpacing/>
        <w:rPr>
          <w:bCs/>
        </w:rPr>
      </w:pPr>
      <w:r>
        <w:rPr>
          <w:bCs/>
        </w:rPr>
        <w:t xml:space="preserve">112 интерактивных лекции с количеством участников 5127 чел. по вопросам профилактики ВИЧ-инфекции с проведением экспресс-тестирования на ВИЧ для сотрудников образовательных организаций. В текущем году количество т</w:t>
      </w:r>
      <w:r>
        <w:rPr>
          <w:bCs/>
        </w:rPr>
        <w:t xml:space="preserve">аких лекций уменьшилось по сравнению с прошлым 2023/2024 учебным годом (94 л.) на 18 ед. При этом увеличилось количество сотрудников образовательных организаций – участников данных мероприятий – на 831 чел. по сравнению с прошлым учебным годом (4296 чел.).</w:t>
      </w:r>
      <w:r>
        <w:rPr>
          <w:bCs/>
        </w:rPr>
      </w:r>
    </w:p>
    <w:p>
      <w:pPr>
        <w:pBdr>
          <w:top w:val="none" w:color="000000" w:sz="4" w:space="0"/>
          <w:left w:val="none" w:color="000000" w:sz="4" w:space="0"/>
          <w:bottom w:val="none" w:color="000000" w:sz="4" w:space="0"/>
          <w:right w:val="none" w:color="000000" w:sz="4" w:space="0"/>
        </w:pBdr>
        <w:spacing w:line="276" w:lineRule="auto"/>
        <w:ind w:firstLine="709"/>
      </w:pPr>
      <w:r>
        <w:rPr>
          <w:i/>
          <w:color w:val="000000"/>
        </w:rPr>
        <w:t xml:space="preserve">Учреждениями культуры Ханты-Мансийского автономного </w:t>
      </w:r>
      <w:r>
        <w:rPr>
          <w:i/>
          <w:color w:val="000000"/>
        </w:rPr>
        <w:br/>
        <w:t xml:space="preserve">округа – Югры</w:t>
      </w:r>
      <w:r>
        <w:rPr>
          <w:color w:val="000000"/>
        </w:rPr>
        <w:t xml:space="preserve"> в рамках </w:t>
      </w:r>
      <w:r>
        <w:t xml:space="preserve">комплексной системы мер, позволяющей эффективно противодействовать негативным тенденциям, </w:t>
      </w:r>
      <w:r>
        <w:t xml:space="preserve">связанным с незаконным оборотом и потреблением наркотических веществ, посредством формирования антинаркотических установок, пропаганды здорового образа жизни и повышения уровня информированности населения в 2025 году были реализованы следующие мероприятия.</w:t>
      </w:r>
    </w:p>
    <w:p>
      <w:pPr>
        <w:pBdr>
          <w:top w:val="none" w:color="000000" w:sz="4" w:space="0"/>
          <w:left w:val="none" w:color="000000" w:sz="4" w:space="0"/>
          <w:bottom w:val="none" w:color="000000" w:sz="4" w:space="0"/>
          <w:right w:val="none" w:color="000000" w:sz="4" w:space="0"/>
        </w:pBdr>
        <w:spacing w:line="276" w:lineRule="auto"/>
        <w:ind w:firstLine="709"/>
        <w:rPr>
          <w:u w:val="single"/>
        </w:rPr>
      </w:pPr>
      <w:r>
        <w:rPr>
          <w:u w:val="single"/>
          <w:lang w:val="en-US"/>
        </w:rPr>
        <w:t xml:space="preserve">I</w:t>
      </w:r>
      <w:r>
        <w:rPr>
          <w:u w:val="single"/>
        </w:rPr>
        <w:t xml:space="preserve">. Мероприятия в государственных учреждениях культуры автономного округа:</w:t>
      </w:r>
      <w:r>
        <w:rPr>
          <w:u w:val="single"/>
        </w:rPr>
      </w:r>
    </w:p>
    <w:p>
      <w:pPr>
        <w:pBdr>
          <w:top w:val="none" w:color="000000" w:sz="4" w:space="0"/>
          <w:left w:val="none" w:color="000000" w:sz="4" w:space="0"/>
          <w:bottom w:val="none" w:color="000000" w:sz="4" w:space="0"/>
          <w:right w:val="none" w:color="000000" w:sz="4" w:space="0"/>
        </w:pBdr>
        <w:spacing w:line="276" w:lineRule="auto"/>
        <w:ind w:firstLine="709"/>
      </w:pPr>
      <w:r>
        <w:t xml:space="preserve">1) Образовательные организации среднего профессионального образования (2024/2025 учебный год):</w:t>
      </w:r>
    </w:p>
    <w:p>
      <w:pPr>
        <w:spacing w:line="276" w:lineRule="auto"/>
        <w:ind w:firstLine="709"/>
      </w:pPr>
      <w:r>
        <w:t xml:space="preserve">В бюджет</w:t>
      </w:r>
      <w:r>
        <w:t xml:space="preserve">ном учреждении «Колледж-интернат Центр искусств для одаренных детей Севера» проведены круглые столы, циклы бесед с обучающимися с целью профилактики правонарушений несовершеннолетних (охват – 200 обучающихся). Также организована профилактическая встреча с </w:t>
      </w:r>
      <w:r>
        <w:t xml:space="preserve">сотрудниками полиции на тему: «Преступления, совершаемые с использованием информационно-коммуникативных технологий. Ответственность </w:t>
      </w:r>
      <w:r>
        <w:t xml:space="preserve">за такие преступления», «Профилактика мошенничества, недопущение совершения противоправных деяний диверсионного характера, в том числе под влиянием деструктивных организаций (с использованием популярных мессенджеров и сети «Интернет», охват – 250 человек).</w:t>
      </w:r>
    </w:p>
    <w:p>
      <w:pPr>
        <w:spacing w:line="276" w:lineRule="auto"/>
        <w:ind w:firstLine="709"/>
      </w:pPr>
      <w:r>
        <w:t xml:space="preserve">В бюджетном учреждении «Колледж-интернат Центр искусств для одаренных детей Севера» проведено более 50 мероприятий со 100% охватом обучающихся (250 человек).</w:t>
      </w:r>
    </w:p>
    <w:p>
      <w:pPr>
        <w:spacing w:line="276" w:lineRule="auto"/>
        <w:ind w:firstLine="709"/>
      </w:pPr>
      <w:r>
        <w:t xml:space="preserve">Бюджетным учреждением автономного округа «Сургутский музыкальный колледж» проведены следующие мероприятия:</w:t>
      </w:r>
    </w:p>
    <w:p>
      <w:pPr>
        <w:spacing w:line="276" w:lineRule="auto"/>
        <w:ind w:firstLine="709"/>
      </w:pPr>
      <w:r>
        <w:t xml:space="preserve">- мероприятие «День здоровья»;</w:t>
      </w:r>
    </w:p>
    <w:p>
      <w:pPr>
        <w:spacing w:line="276" w:lineRule="auto"/>
        <w:ind w:firstLine="709"/>
      </w:pPr>
      <w:r>
        <w:t xml:space="preserve">- встречи с сотрудниками полиции и представителями бюджетного учреждения «Сургутская клиническая психоневрологическая больница»</w:t>
      </w:r>
      <w:r>
        <w:br/>
        <w:t xml:space="preserve">на тему профилактики употребления психоактивных веществ</w:t>
      </w:r>
      <w:r>
        <w:br/>
        <w:t xml:space="preserve">и ответственности за незаконное потребление, хранение, перевозку</w:t>
      </w:r>
      <w:r>
        <w:br/>
        <w:t xml:space="preserve">и изготовление наркотиков;</w:t>
      </w:r>
    </w:p>
    <w:p>
      <w:pPr>
        <w:spacing w:line="276" w:lineRule="auto"/>
        <w:ind w:firstLine="709"/>
      </w:pPr>
      <w:r>
        <w:t xml:space="preserve">- встреча с представителем Молодежного центра «Формат» Владиславом </w:t>
      </w:r>
      <w:r>
        <w:t xml:space="preserve">Брылеевым</w:t>
      </w:r>
      <w:r>
        <w:t xml:space="preserve">, направленная на правовое просвещение обучающихся;</w:t>
      </w:r>
    </w:p>
    <w:p>
      <w:pPr>
        <w:spacing w:line="276" w:lineRule="auto"/>
        <w:ind w:firstLine="709"/>
      </w:pPr>
      <w:r>
        <w:t xml:space="preserve">- выставка рисунков и плакатов «Я выбираю жизнь» по теме антинаркотической направленности;</w:t>
      </w:r>
    </w:p>
    <w:p>
      <w:pPr>
        <w:spacing w:line="276" w:lineRule="auto"/>
        <w:ind w:firstLine="709"/>
      </w:pPr>
      <w:r>
        <w:t xml:space="preserve">- Всероссийский единый урок «Права человека» (приняли участие 161 человек).</w:t>
      </w:r>
    </w:p>
    <w:p>
      <w:pPr>
        <w:spacing w:line="276" w:lineRule="auto"/>
        <w:ind w:firstLine="709"/>
      </w:pPr>
      <w:r>
        <w:t xml:space="preserve">В мероприятиях приняли участие все обучающиеся «Сургутского музыкального колледжа» (167 обучающихся, охват – 100%).</w:t>
      </w:r>
    </w:p>
    <w:p>
      <w:pPr>
        <w:spacing w:line="276" w:lineRule="auto"/>
        <w:ind w:firstLine="709"/>
      </w:pPr>
      <w:r>
        <w:t xml:space="preserve">В бюджетном учреждении автономного округа «Сургутский музыкальный колледж» проведено 28 мероприятий по теме антинаркотической направленности со 100% охватом обучающихся.</w:t>
      </w:r>
    </w:p>
    <w:p>
      <w:pPr>
        <w:spacing w:line="276" w:lineRule="auto"/>
        <w:ind w:firstLine="709"/>
        <w:rPr>
          <w:lang w:eastAsia="zh-CN"/>
        </w:rPr>
      </w:pPr>
      <w:r>
        <w:rPr>
          <w:rFonts w:eastAsia="Segoe UI"/>
          <w:lang w:eastAsia="zh-CN"/>
        </w:rPr>
        <w:t xml:space="preserve">В бюджетном учреждении автономного округа «Сургутский колледж русской культуры им. А.С. Знаменского» для учащихся организованы серии лекций о вреде наркотиков и последствиях их употребления. </w:t>
      </w:r>
      <w:r>
        <w:t xml:space="preserve">Также в рамках пр</w:t>
      </w:r>
      <w:r>
        <w:t xml:space="preserve">осветительской деятельности проведена акция «Стоп наркотики!», в ходе которой студенты подготовили плакаты на тему вреда наркотиков, организовали раздачу информационных материалов, включающих буклеты и листовки с контактами служб помощи автономного округа.</w:t>
      </w:r>
      <w:r>
        <w:br/>
      </w:r>
      <w:r>
        <w:rPr>
          <w:rFonts w:eastAsia="Segoe UI"/>
          <w:lang w:eastAsia="zh-CN"/>
        </w:rPr>
        <w:t xml:space="preserve">Для обучающихся и студентов прошли показы</w:t>
      </w:r>
      <w:r>
        <w:rPr>
          <w:rFonts w:eastAsia="Segoe UI"/>
          <w:color w:val="000000"/>
          <w:lang w:eastAsia="zh-CN"/>
        </w:rPr>
        <w:t xml:space="preserve"> </w:t>
      </w:r>
      <w:r>
        <w:rPr>
          <w:rFonts w:eastAsia="Segoe UI"/>
          <w:lang w:eastAsia="zh-CN"/>
        </w:rPr>
        <w:t xml:space="preserve">социальных видеороликов</w:t>
      </w:r>
      <w:r>
        <w:rPr>
          <w:rFonts w:eastAsia="Segoe UI"/>
          <w:lang w:eastAsia="zh-CN"/>
        </w:rPr>
        <w:br/>
      </w:r>
      <w:r>
        <w:rPr>
          <w:rFonts w:eastAsia="Segoe UI"/>
          <w:lang w:eastAsia="zh-CN"/>
        </w:rPr>
        <w:t xml:space="preserve">о последствиях употребления наркотических веществ (охват – 100% обучающихся).</w:t>
      </w:r>
      <w:r>
        <w:rPr>
          <w:lang w:eastAsia="zh-CN"/>
        </w:rPr>
      </w:r>
    </w:p>
    <w:p>
      <w:pPr>
        <w:spacing w:line="276" w:lineRule="auto"/>
        <w:ind w:firstLine="709"/>
      </w:pPr>
      <w:r>
        <w:t xml:space="preserve">В бюджетном учреждении автономного округа </w:t>
      </w:r>
      <w:r>
        <w:rPr>
          <w:rFonts w:eastAsia="Segoe UI"/>
          <w:lang w:eastAsia="zh-CN"/>
        </w:rPr>
        <w:t xml:space="preserve">«Сургутский колледж русской культуры им. А.С. Знаменского»</w:t>
      </w:r>
      <w:r>
        <w:rPr>
          <w:lang w:eastAsia="zh-CN"/>
        </w:rPr>
        <w:t xml:space="preserve"> провед</w:t>
      </w:r>
      <w:r>
        <w:rPr>
          <w:lang w:eastAsia="zh-CN"/>
        </w:rPr>
        <w:t xml:space="preserve">ено 14 мероприятий со 100% охватом обучающихся – 217 человек. Также организованы 7 спортивных турниров по различным видам спорта. Эти мероприятия привлекли значительное количество обучающихся, студентов, родителей и преподавателей в количестве 200 человек.</w:t>
      </w:r>
    </w:p>
    <w:p>
      <w:pPr>
        <w:spacing w:line="276" w:lineRule="auto"/>
        <w:ind w:firstLine="709"/>
        <w:rPr>
          <w:color w:val="000000"/>
          <w:lang w:eastAsia="zh-CN"/>
        </w:rPr>
      </w:pPr>
      <w:r>
        <w:rPr>
          <w:highlight w:val="white"/>
        </w:rPr>
        <w:t xml:space="preserve">Также в профессиональных образовательных учреждениях автономного округа </w:t>
      </w:r>
      <w:r>
        <w:t xml:space="preserve">в</w:t>
      </w:r>
      <w:r>
        <w:rPr>
          <w:color w:val="000000"/>
          <w:lang w:eastAsia="zh-CN"/>
        </w:rPr>
        <w:t xml:space="preserve"> целях раннего выявления незаконного потребления наркотических средств и психотропных веществ</w:t>
      </w:r>
      <w:r>
        <w:rPr>
          <w:lang w:eastAsia="zh-CN"/>
        </w:rPr>
        <w:t xml:space="preserve"> ежегодно </w:t>
      </w:r>
      <w:r>
        <w:rPr>
          <w:color w:val="000000"/>
          <w:lang w:eastAsia="zh-CN"/>
        </w:rPr>
        <w:t xml:space="preserve">проводится социологическо-психологическое тестирование обучающихся со 100% охватом обучающихся ежегодно.</w:t>
      </w:r>
      <w:r>
        <w:rPr>
          <w:color w:val="000000"/>
          <w:lang w:eastAsia="zh-CN"/>
        </w:rPr>
      </w:r>
    </w:p>
    <w:p>
      <w:pPr>
        <w:spacing w:line="276" w:lineRule="auto"/>
        <w:ind w:firstLine="709"/>
        <w:rPr>
          <w:highlight w:val="yellow"/>
        </w:rPr>
      </w:pPr>
      <w:r>
        <w:rPr>
          <w:color w:val="000000"/>
          <w:lang w:eastAsia="zh-CN"/>
        </w:rPr>
        <w:t xml:space="preserve">2) </w:t>
      </w:r>
      <w:r>
        <w:rPr>
          <w:color w:val="000000"/>
        </w:rPr>
        <w:t xml:space="preserve">Сотрудниками бюджетного учреждения автономного округа «</w:t>
      </w:r>
      <w:r>
        <w:rPr>
          <w:color w:val="000000"/>
        </w:rPr>
        <w:t xml:space="preserve">Няганский</w:t>
      </w:r>
      <w:r>
        <w:rPr>
          <w:color w:val="000000"/>
        </w:rPr>
        <w:t xml:space="preserve"> театр юного зрителя» в рамках акции «Чистое поколение»</w:t>
      </w:r>
      <w:r>
        <w:rPr>
          <w:color w:val="000000"/>
        </w:rPr>
        <w:br/>
        <w:t xml:space="preserve">для подростков проведены: настольная и</w:t>
      </w:r>
      <w:r>
        <w:rPr>
          <w:color w:val="000000"/>
        </w:rPr>
        <w:t xml:space="preserve">гра театра «Культурный серфинг»; мастер-класс по актерскому мастерству, где обсуждалась в том числе важность здорового образа жизни с целью повышения культурного уровня и вовлечения подростков в творческую деятельность как альтернативу негативным влияниям.</w:t>
      </w:r>
      <w:r>
        <w:rPr>
          <w:highlight w:val="yellow"/>
        </w:rPr>
      </w:r>
    </w:p>
    <w:p>
      <w:pPr>
        <w:spacing w:line="276" w:lineRule="auto"/>
        <w:ind w:firstLine="709"/>
      </w:pPr>
      <w:r>
        <w:t xml:space="preserve">Состоялись 3 показа спектакля «Я есть!» </w:t>
      </w:r>
      <w:r>
        <w:rPr>
          <w:color w:val="000000"/>
        </w:rPr>
        <w:t xml:space="preserve">бюджетного учреждения автономного округа «</w:t>
      </w:r>
      <w:r>
        <w:rPr>
          <w:color w:val="000000"/>
        </w:rPr>
        <w:t xml:space="preserve">Няганский</w:t>
      </w:r>
      <w:r>
        <w:rPr>
          <w:color w:val="000000"/>
        </w:rPr>
        <w:t xml:space="preserve"> театр юного зрителя»</w:t>
      </w:r>
      <w:r>
        <w:t xml:space="preserve"> с количеством зрителей 169 человек. После спектаклей проходили обсуждения с артистами, где подростки могли задать интересующие их вопросы. Также проведено культурно-массовое мероприятие «Герой ли нашего времени?». Количество участников: 112 человек.</w:t>
      </w:r>
    </w:p>
    <w:p>
      <w:pPr>
        <w:spacing w:line="276" w:lineRule="auto"/>
        <w:ind w:firstLine="709"/>
        <w:rPr>
          <w:color w:val="000000" w:themeColor="text1"/>
        </w:rPr>
      </w:pPr>
      <w:r>
        <w:rPr>
          <w:color w:val="000000" w:themeColor="text1"/>
        </w:rPr>
        <w:t xml:space="preserve">3) На официальном сайте автономного учреждения автономного округа </w:t>
      </w:r>
      <w:r>
        <w:rPr>
          <w:color w:val="000000" w:themeColor="text1"/>
          <w:highlight w:val="white"/>
        </w:rPr>
        <w:t xml:space="preserve">«Окружной Дом народного творчества»</w:t>
      </w:r>
      <w:r>
        <w:rPr>
          <w:color w:val="000000" w:themeColor="text1"/>
        </w:rPr>
        <w:t xml:space="preserve"> на постоянной основе публикуется информация, </w:t>
      </w:r>
      <w:r>
        <w:rPr>
          <w:color w:val="000000" w:themeColor="text1"/>
          <w:highlight w:val="white"/>
        </w:rPr>
        <w:t xml:space="preserve">пропагандирующая здоровый образ жизни и формирование осознания негативных последствий незаконного употребления наркотиков</w:t>
      </w:r>
      <w:r>
        <w:rPr>
          <w:color w:val="000000" w:themeColor="text1"/>
        </w:rPr>
        <w:t xml:space="preserve">. Педагоги Школы креативных индустрий «Окружного Дома народного творчества» </w:t>
      </w:r>
      <w:r>
        <w:rPr>
          <w:color w:val="000000" w:themeColor="text1"/>
          <w:shd w:val="clear" w:color="auto" w:fill="ffffff"/>
        </w:rPr>
        <w:t xml:space="preserve">ежемесячно проводят профилактические беседы антинаркотического характера с воспитанниками (охват учеников составил 100%). Кроме того, информирование учащихся запланировано на 2026 год, данные мероприятия внесены в учебный план Школы креативных индустрий.</w:t>
      </w:r>
      <w:r>
        <w:rPr>
          <w:color w:val="000000" w:themeColor="text1"/>
        </w:rPr>
      </w:r>
    </w:p>
    <w:p>
      <w:pPr>
        <w:spacing w:line="276" w:lineRule="auto"/>
        <w:ind w:firstLine="709"/>
      </w:pPr>
      <w:r>
        <w:t xml:space="preserve">А</w:t>
      </w:r>
      <w:r>
        <w:rPr>
          <w:color w:val="000000" w:themeColor="text1"/>
        </w:rPr>
        <w:t xml:space="preserve">втономным учреждением автономного округа </w:t>
      </w:r>
      <w:r>
        <w:rPr>
          <w:color w:val="000000" w:themeColor="text1"/>
          <w:highlight w:val="white"/>
        </w:rPr>
        <w:t xml:space="preserve">«Окружной Дом народного творчества»</w:t>
      </w:r>
      <w:r>
        <w:rPr>
          <w:color w:val="000000" w:themeColor="text1"/>
        </w:rPr>
        <w:t xml:space="preserve"> </w:t>
      </w:r>
      <w:r>
        <w:t xml:space="preserve">проведено 56 мероприятий,</w:t>
      </w:r>
      <w:r>
        <w:rPr>
          <w:color w:val="000000"/>
        </w:rPr>
        <w:t xml:space="preserve"> направленных на </w:t>
      </w:r>
      <w:r>
        <w:rPr>
          <w:color w:val="000000"/>
        </w:rPr>
        <w:t xml:space="preserve">формирование </w:t>
      </w:r>
      <w:r>
        <w:t xml:space="preserve">здорового образа жизни, </w:t>
      </w:r>
      <w:r>
        <w:rPr>
          <w:color w:val="000000"/>
        </w:rPr>
        <w:t xml:space="preserve">включая популяризацию культуры здорового питания, профилактику алкоголизма и наркомании, потреблению табака.</w:t>
      </w:r>
      <w:r>
        <w:t xml:space="preserve"> Участниками мероприятий стали более 10 тыс. чел.</w:t>
      </w:r>
    </w:p>
    <w:p>
      <w:pPr>
        <w:pBdr>
          <w:top w:val="none" w:color="000000" w:sz="4" w:space="0"/>
          <w:left w:val="none" w:color="000000" w:sz="4" w:space="0"/>
          <w:bottom w:val="none" w:color="000000" w:sz="4" w:space="0"/>
          <w:right w:val="none" w:color="000000" w:sz="4" w:space="0"/>
        </w:pBdr>
        <w:spacing w:line="276" w:lineRule="auto"/>
        <w:ind w:firstLine="709"/>
      </w:pPr>
      <w:r>
        <w:rPr>
          <w:color w:val="000000"/>
        </w:rPr>
        <w:t xml:space="preserve">4) Автономное учреждение автономного округа «Югорский кинопрокат» организовал показ научно-популяр</w:t>
      </w:r>
      <w:r>
        <w:rPr>
          <w:color w:val="000000"/>
        </w:rPr>
        <w:t xml:space="preserve">ного фильма «Наркотики: секреты манипуляции». Совместно со специалистами бюджетного учреждения «Центр общественного здоровья и медицинской профилактики» проведены кинолектории, направленные на профилактику детского алкоголизма, наркотической зависимости и </w:t>
      </w:r>
      <w:r>
        <w:rPr>
          <w:color w:val="000000"/>
        </w:rPr>
        <w:t xml:space="preserve">табакокурения</w:t>
      </w:r>
      <w:r>
        <w:rPr>
          <w:color w:val="000000"/>
        </w:rPr>
        <w:t xml:space="preserve">. Всего орган</w:t>
      </w:r>
      <w:r>
        <w:rPr>
          <w:color w:val="000000"/>
        </w:rPr>
        <w:t xml:space="preserve">изовано 13 подобных мероприятий, в которых приняли участие 600 несовершеннолетних в возрасте до 18 лет. Также демонстрировались видеоролики, ориентированные на формирование культуры здорового образа жизни и профилактику наркотической зависимости. За период</w:t>
      </w:r>
      <w:r>
        <w:rPr>
          <w:color w:val="000000"/>
        </w:rPr>
        <w:br/>
        <w:t xml:space="preserve">с 20.06.2025 по 23.12.2025 общий охват составил 20 403 просмотра.</w:t>
      </w:r>
    </w:p>
    <w:p>
      <w:pPr>
        <w:pBdr>
          <w:top w:val="none" w:color="000000" w:sz="4" w:space="0"/>
          <w:left w:val="none" w:color="000000" w:sz="4" w:space="0"/>
          <w:bottom w:val="none" w:color="000000" w:sz="4" w:space="0"/>
          <w:right w:val="none" w:color="000000" w:sz="4" w:space="0"/>
        </w:pBdr>
        <w:spacing w:line="276" w:lineRule="auto"/>
        <w:ind w:firstLine="709"/>
      </w:pPr>
      <w:r>
        <w:t xml:space="preserve">А</w:t>
      </w:r>
      <w:r>
        <w:rPr>
          <w:color w:val="000000"/>
        </w:rPr>
        <w:t xml:space="preserve">втономное учреждение автономного округа «Югорский кинопрокат»</w:t>
      </w:r>
      <w:r>
        <w:t xml:space="preserve"> </w:t>
      </w:r>
      <w:r>
        <w:t xml:space="preserve">в рамках работы киноклуба «Бумеранг» совместно с «Центром общественного здоровья и медицинской профилактики» организовал кинолектории и обсуждения фильмов, направленных на профилактику вредных привычек. Общее количество зрителей – 909 человек. Кроме того, </w:t>
      </w:r>
      <w:r>
        <w:rPr>
          <w:color w:val="000000"/>
        </w:rPr>
        <w:t xml:space="preserve">автономное учреждение автономного округа «Югорский кинопрокат»</w:t>
      </w:r>
      <w:r>
        <w:t xml:space="preserve"> принимал участие в окружной </w:t>
      </w:r>
      <w:r>
        <w:t xml:space="preserve">киноакции</w:t>
      </w:r>
      <w:r>
        <w:t xml:space="preserve"> «Я выбираю жизнь», в рамках </w:t>
      </w:r>
      <w:r>
        <w:t xml:space="preserve">киноакции</w:t>
      </w:r>
      <w:r>
        <w:t xml:space="preserve"> проведены кинолектории и обсуждения, направленные на пропаганду здорового образа жизни. Общее количество зрителей – 270 человек.</w:t>
      </w:r>
    </w:p>
    <w:p>
      <w:pPr>
        <w:pBdr>
          <w:top w:val="none" w:color="000000" w:sz="4" w:space="0"/>
          <w:left w:val="none" w:color="000000" w:sz="4" w:space="0"/>
          <w:bottom w:val="none" w:color="000000" w:sz="4" w:space="0"/>
          <w:right w:val="none" w:color="000000" w:sz="4" w:space="0"/>
        </w:pBdr>
        <w:spacing w:line="276" w:lineRule="auto"/>
        <w:ind w:firstLine="709"/>
      </w:pPr>
      <w:r>
        <w:rPr>
          <w:highlight w:val="white"/>
        </w:rPr>
        <w:t xml:space="preserve">5) </w:t>
      </w:r>
      <w:r>
        <w:rPr>
          <w:highlight w:val="white"/>
        </w:rPr>
        <w:t xml:space="preserve">В</w:t>
      </w:r>
      <w:r>
        <w:rPr>
          <w:highlight w:val="white"/>
        </w:rPr>
        <w:t xml:space="preserve"> бюджетном учреждении автономного округа «Государственная библиотека Югры» </w:t>
      </w:r>
      <w:r>
        <w:t xml:space="preserve">проведены следующие мероприятия: </w:t>
      </w:r>
      <w:r>
        <w:rPr>
          <w:highlight w:val="white"/>
        </w:rPr>
        <w:t xml:space="preserve">тематические книжные выставки «Маленькие хитрости крепкого здоровья», «Вредные привычки. Не современно!» на которых представлены книги, посвященные различным аспектам поддержания здоровья, правильного питания</w:t>
      </w:r>
      <w:r>
        <w:rPr>
          <w:highlight w:val="white"/>
        </w:rPr>
        <w:br/>
        <w:t xml:space="preserve">и физической активности, создание рисунков и плакатов на тему: «Закаляйся, если хочешь быть здоров!», на которых изображен процесс закаливания, его преимущества и важность для поддержания здоровья.</w:t>
      </w:r>
      <w:r>
        <w:br/>
        <w:t xml:space="preserve">В рамках проведения фестиваля одной книги «Маленький принц» действовала спортивная площадка, на которой партнерами мероприятия организованы спортивные активности (охват участников – 86 человек). </w:t>
      </w:r>
    </w:p>
    <w:p>
      <w:pPr>
        <w:pBdr>
          <w:top w:val="none" w:color="000000" w:sz="4" w:space="0"/>
          <w:left w:val="none" w:color="000000" w:sz="4" w:space="0"/>
          <w:bottom w:val="none" w:color="000000" w:sz="4" w:space="0"/>
          <w:right w:val="none" w:color="000000" w:sz="4" w:space="0"/>
        </w:pBdr>
        <w:spacing w:line="276" w:lineRule="auto"/>
        <w:ind w:firstLine="709"/>
      </w:pPr>
      <w:r>
        <w:t xml:space="preserve">В </w:t>
      </w:r>
      <w:r>
        <w:rPr>
          <w:highlight w:val="white"/>
        </w:rPr>
        <w:t xml:space="preserve">бюджетном учреждении автономного округа «Государственная библиотека Югры»</w:t>
      </w:r>
      <w:r>
        <w:t xml:space="preserve"> проводились групповые встречи и занятия, литературные </w:t>
      </w:r>
      <w:r>
        <w:t xml:space="preserve">встречи, книжные клубы, </w:t>
      </w:r>
      <w:r>
        <w:t xml:space="preserve">профориентационные</w:t>
      </w:r>
      <w:r>
        <w:t xml:space="preserve"> проекты и молодежный лекторий «Кстати» (общее количество участников: 156 человек).</w:t>
      </w:r>
    </w:p>
    <w:p>
      <w:pPr>
        <w:pBdr>
          <w:top w:val="none" w:color="000000" w:sz="4" w:space="0"/>
          <w:left w:val="none" w:color="000000" w:sz="4" w:space="0"/>
          <w:bottom w:val="none" w:color="000000" w:sz="4" w:space="0"/>
          <w:right w:val="none" w:color="000000" w:sz="4" w:space="0"/>
        </w:pBdr>
        <w:spacing w:line="276" w:lineRule="auto"/>
        <w:ind w:firstLine="709"/>
      </w:pPr>
      <w:r>
        <w:t xml:space="preserve">6) На официальном сайте бюджетного учреждения автономного округа «Государственный художественный музей» (в филиалах учреждения в том числе) на постоянной основе размещают</w:t>
      </w:r>
      <w:r>
        <w:t xml:space="preserve">ся и актуализируются информационные материалы антинаркотической направленности. Также организована выставка рисунков и плакатов «Я выбираю жизнь» по теме антинаркотической направленности, созданные обучающимися профессиональных образовательных организаций.</w:t>
      </w:r>
    </w:p>
    <w:p>
      <w:pPr>
        <w:pBdr>
          <w:top w:val="none" w:color="000000" w:sz="4" w:space="0"/>
          <w:left w:val="none" w:color="000000" w:sz="4" w:space="0"/>
          <w:bottom w:val="none" w:color="000000" w:sz="4" w:space="0"/>
          <w:right w:val="none" w:color="000000" w:sz="4" w:space="0"/>
        </w:pBdr>
        <w:spacing w:line="276" w:lineRule="auto"/>
        <w:ind w:firstLine="709"/>
      </w:pPr>
      <w:r>
        <w:t xml:space="preserve">Бюджетным учреждением автономного округа «Государственный художественный музей» состоялся конкурс антинаркотических рисунков «Мир без наркотиков» среди подростков 14-18 лет. Приняло участие 28 подростков в возрасте 14-18 лет.</w:t>
      </w:r>
    </w:p>
    <w:p>
      <w:pPr>
        <w:pBdr>
          <w:top w:val="none" w:color="000000" w:sz="4" w:space="0"/>
          <w:left w:val="none" w:color="000000" w:sz="4" w:space="0"/>
          <w:bottom w:val="none" w:color="000000" w:sz="4" w:space="0"/>
          <w:right w:val="none" w:color="000000" w:sz="4" w:space="0"/>
        </w:pBdr>
        <w:spacing w:line="276" w:lineRule="auto"/>
        <w:ind w:firstLine="709"/>
      </w:pPr>
      <w:r>
        <w:rPr>
          <w:color w:val="000000"/>
        </w:rPr>
        <w:t xml:space="preserve">7) Бюджетное учреждение автономного округа </w:t>
      </w:r>
      <w:r>
        <w:rPr>
          <w:color w:val="000000"/>
          <w:highlight w:val="white"/>
        </w:rPr>
        <w:t xml:space="preserve">«Музей геологии, нефти и газа» совместно с бюджетным учреждением автономного округа «Центр общественного здоровья и медицинской профилактики» проводит занятия «Береги себя для жизни».</w:t>
      </w:r>
      <w:r>
        <w:t xml:space="preserve"> В июне 2025 года проведено занятие для детей бюджетного учреждения автономного округа «Ханты-Мансийский реабилитационный центр». </w:t>
      </w:r>
    </w:p>
    <w:p>
      <w:pPr>
        <w:spacing w:line="276" w:lineRule="auto"/>
        <w:ind w:firstLine="709"/>
      </w:pPr>
      <w:r>
        <w:t xml:space="preserve">31 мая 2024 года в бюджетном учреждении автономного округа «Музей геологии, нефти и газа» прошел бесплатный фестиваль «Формула здоровья». Фестиваль был нап</w:t>
      </w:r>
      <w:r>
        <w:t xml:space="preserve">равлен на укрепление здоровья, вовлечение детей и молодежи в систематические занятия физической культурой и спортом, ведение здорового образа жизни, совершенствование их спортивного досуга, повышение общественного значения традиционных семейных ценностей. </w:t>
      </w:r>
    </w:p>
    <w:p>
      <w:pPr>
        <w:pBdr>
          <w:top w:val="none" w:color="000000" w:sz="4" w:space="0"/>
          <w:left w:val="none" w:color="000000" w:sz="4" w:space="0"/>
          <w:bottom w:val="none" w:color="000000" w:sz="4" w:space="0"/>
          <w:right w:val="none" w:color="000000" w:sz="4" w:space="0"/>
        </w:pBdr>
        <w:spacing w:line="276" w:lineRule="auto"/>
        <w:ind w:firstLine="709"/>
      </w:pPr>
      <w:r>
        <w:t xml:space="preserve">8) </w:t>
      </w:r>
      <w:r>
        <w:rPr>
          <w:color w:val="000000"/>
        </w:rPr>
        <w:t xml:space="preserve">На официальном сайте бюджетного учреждения автономного округа «Музей Природы и Человека» размещена информация антинаркотической пропаганды, направленная на повышение уровня осведомленности граждан, в первую очередь несовершеннолет</w:t>
      </w:r>
      <w:r>
        <w:rPr>
          <w:color w:val="000000"/>
        </w:rPr>
        <w:t xml:space="preserve">них и их родителей. На внутреннем экране для посетителей во время проведения мероприятий транслируются информационные материалы по вопросам профилактики наркомании. Также «Музей Природы и Человека» проводит тематические экскурсии по городу Ханты-Мансийску </w:t>
      </w:r>
      <w:r>
        <w:rPr>
          <w:color w:val="000000"/>
          <w:shd w:val="clear" w:color="auto" w:fill="ffffff"/>
        </w:rPr>
        <w:t xml:space="preserve">«10 000 шагов». </w:t>
      </w:r>
      <w:r>
        <w:t xml:space="preserve">В 2025 году участие в проекте приняли 391 человек (в 2024 году – 384 человека).</w:t>
      </w:r>
    </w:p>
    <w:p>
      <w:pPr>
        <w:spacing w:line="276" w:lineRule="auto"/>
        <w:ind w:firstLine="709"/>
      </w:pPr>
      <w:r>
        <w:rPr>
          <w:color w:val="000000"/>
        </w:rPr>
        <w:t xml:space="preserve">9) </w:t>
      </w:r>
      <w:r>
        <w:rPr>
          <w:color w:val="000000"/>
        </w:rPr>
        <w:t xml:space="preserve">В</w:t>
      </w:r>
      <w:r>
        <w:rPr>
          <w:color w:val="000000"/>
        </w:rPr>
        <w:t xml:space="preserve"> бюджетном учреждении автономного округа </w:t>
      </w:r>
      <w:r>
        <w:rPr>
          <w:highlight w:val="white"/>
        </w:rPr>
        <w:t xml:space="preserve">«Этнографический музей под открытым небом «</w:t>
      </w:r>
      <w:r>
        <w:rPr>
          <w:highlight w:val="white"/>
        </w:rPr>
        <w:t xml:space="preserve">Торум</w:t>
      </w:r>
      <w:r>
        <w:rPr>
          <w:highlight w:val="white"/>
        </w:rPr>
        <w:t xml:space="preserve"> </w:t>
      </w:r>
      <w:r>
        <w:rPr>
          <w:highlight w:val="white"/>
        </w:rPr>
        <w:t xml:space="preserve">Маа</w:t>
      </w:r>
      <w:r>
        <w:rPr>
          <w:highlight w:val="white"/>
        </w:rPr>
        <w:t xml:space="preserve">» </w:t>
      </w:r>
      <w:r>
        <w:t xml:space="preserve">проводятся интерактивные музейные программы: «Этно-старт», «Крепких людей дорога», «Сильных </w:t>
      </w:r>
      <w:r>
        <w:t xml:space="preserve">людей дорога», «Земля покорителей», «</w:t>
      </w:r>
      <w:r>
        <w:t xml:space="preserve">Таксар</w:t>
      </w:r>
      <w:r>
        <w:t xml:space="preserve"> </w:t>
      </w:r>
      <w:r>
        <w:t xml:space="preserve">махум</w:t>
      </w:r>
      <w:r>
        <w:t xml:space="preserve"> – Крепкие люди». За 2025 год интерактивные музейные программы посетили 3 6</w:t>
      </w:r>
      <w:r>
        <w:t xml:space="preserve">68 человек. На официальном сайте музея также размещены и актуализируются тематические материалы, в том числе о профилактике негативных проявлений, уголовной ответственности за совершение преступлений и правонарушений в сфере незаконного оборота наркотиков.</w:t>
      </w:r>
    </w:p>
    <w:p>
      <w:pPr>
        <w:spacing w:line="276" w:lineRule="auto"/>
        <w:ind w:firstLine="709"/>
      </w:pPr>
      <w:r>
        <w:t xml:space="preserve">В 2024 году </w:t>
      </w:r>
      <w:r>
        <w:rPr>
          <w:color w:val="000000"/>
        </w:rPr>
        <w:t xml:space="preserve">в бюджетном учреждении автономного округа </w:t>
      </w:r>
      <w:r>
        <w:rPr>
          <w:highlight w:val="white"/>
        </w:rPr>
        <w:t xml:space="preserve">«Этнографический музей под открытым небом «</w:t>
      </w:r>
      <w:r>
        <w:rPr>
          <w:highlight w:val="white"/>
        </w:rPr>
        <w:t xml:space="preserve">Торум</w:t>
      </w:r>
      <w:r>
        <w:rPr>
          <w:highlight w:val="white"/>
        </w:rPr>
        <w:t xml:space="preserve"> </w:t>
      </w:r>
      <w:r>
        <w:rPr>
          <w:highlight w:val="white"/>
        </w:rPr>
        <w:t xml:space="preserve">Маа</w:t>
      </w:r>
      <w:r>
        <w:rPr>
          <w:highlight w:val="white"/>
        </w:rPr>
        <w:t xml:space="preserve">»</w:t>
      </w:r>
      <w:r>
        <w:t xml:space="preserve"> проведено </w:t>
      </w:r>
      <w:r>
        <w:rPr>
          <w:rFonts w:eastAsia="Calibri"/>
        </w:rPr>
        <w:t xml:space="preserve">308 мероприятий по теме, количество участников – 3705.</w:t>
      </w:r>
    </w:p>
    <w:p>
      <w:pPr>
        <w:spacing w:line="276" w:lineRule="auto"/>
        <w:ind w:firstLine="709"/>
      </w:pPr>
      <w:r>
        <w:t xml:space="preserve">Общее количество мероприятий в 2025 году, состоявшихся в культурно-досуговых учреждениях, подведомственных Департаменту культуры автономного округа – 76, общее количество участников – 5 890.</w:t>
      </w:r>
    </w:p>
    <w:p>
      <w:pPr>
        <w:pBdr>
          <w:top w:val="none" w:color="000000" w:sz="4" w:space="0"/>
          <w:left w:val="none" w:color="000000" w:sz="4" w:space="0"/>
          <w:bottom w:val="none" w:color="000000" w:sz="4" w:space="0"/>
          <w:right w:val="none" w:color="000000" w:sz="4" w:space="0"/>
        </w:pBdr>
        <w:spacing w:line="276" w:lineRule="auto"/>
        <w:ind w:firstLine="709"/>
        <w:rPr>
          <w:color w:val="000000"/>
        </w:rPr>
      </w:pPr>
      <w:r>
        <w:rPr>
          <w:color w:val="000000"/>
          <w:u w:val="single"/>
          <w:lang w:val="en-US"/>
        </w:rPr>
        <w:t xml:space="preserve">II</w:t>
      </w:r>
      <w:r>
        <w:rPr>
          <w:color w:val="000000"/>
          <w:u w:val="single"/>
        </w:rPr>
        <w:t xml:space="preserve">. В муниципальных культурно-досуговых учреждениях автономного округа</w:t>
      </w:r>
      <w:r>
        <w:rPr>
          <w:color w:val="000000"/>
        </w:rPr>
        <w:t xml:space="preserve"> осуществляется систематическая и планомерная разъяснител</w:t>
      </w:r>
      <w:r>
        <w:rPr>
          <w:color w:val="000000"/>
        </w:rPr>
        <w:t xml:space="preserve">ьная работа по профилактике употребления наркотических и психоактивных веществ с учащимися, родителями (законными представителями), сотрудниками учреждений. Ведется разъяснительная работа с учащимися, их родителями (законными представителями), направленная</w:t>
      </w:r>
      <w:r>
        <w:rPr>
          <w:color w:val="000000"/>
        </w:rPr>
        <w:br/>
        <w:t xml:space="preserve">на профилактику наркомании.</w:t>
      </w:r>
      <w:r>
        <w:t xml:space="preserve"> </w:t>
      </w:r>
      <w:r>
        <w:rPr>
          <w:color w:val="000000"/>
        </w:rPr>
      </w:r>
    </w:p>
    <w:p>
      <w:pPr>
        <w:spacing w:line="276" w:lineRule="auto"/>
        <w:ind w:firstLine="709"/>
        <w:rPr>
          <w:color w:val="000000"/>
        </w:rPr>
      </w:pPr>
      <w:r>
        <w:t xml:space="preserve">Так, в г. Когалым учреждения культуры совместно</w:t>
      </w:r>
      <w:r>
        <w:br/>
        <w:t xml:space="preserve">с кураторами направления и представителями правоохранительных органов организовали профилактические акции с выходом на улицы города «Сообщи, где торгуют смертью», а также оказана информационная поддержка акции «Навыки для жизни».</w:t>
      </w:r>
      <w:r>
        <w:rPr>
          <w:color w:val="000000"/>
        </w:rPr>
      </w:r>
    </w:p>
    <w:p>
      <w:pPr>
        <w:spacing w:line="276" w:lineRule="auto"/>
        <w:ind w:firstLine="709"/>
      </w:pPr>
      <w:r>
        <w:rPr>
          <w:szCs w:val="24"/>
        </w:rPr>
        <w:t xml:space="preserve">В целях формирования приоритета в здоровом образе жизни учреждениями культуры</w:t>
      </w:r>
      <w:r>
        <w:rPr>
          <w:szCs w:val="24"/>
          <w:highlight w:val="white"/>
        </w:rPr>
        <w:t xml:space="preserve"> г. </w:t>
      </w:r>
      <w:r>
        <w:rPr>
          <w:szCs w:val="24"/>
        </w:rPr>
        <w:t xml:space="preserve">Нягань проведены: часы здоровья</w:t>
      </w:r>
      <w:r>
        <w:rPr>
          <w:szCs w:val="24"/>
        </w:rPr>
        <w:t xml:space="preserve">, беседы, акции по раздаче буклетов, листовок совместно с волонтерами, игровые программы, выставки книжные, выставки рисунков, круглые столы, творческие конкурсы, викторины, спортивные состязания в рамках Всемирного дня здоровья, Всемирного дня без табака,</w:t>
      </w:r>
      <w:r>
        <w:t xml:space="preserve"> </w:t>
      </w:r>
      <w:r>
        <w:rPr>
          <w:szCs w:val="24"/>
        </w:rPr>
        <w:t xml:space="preserve">месячника «Здоровый ученик», месячника антинаркотической направленности и популяризации здорового образа жизни. В центральной районной детской библиотеке </w:t>
      </w:r>
      <w:r>
        <w:rPr>
          <w:szCs w:val="24"/>
        </w:rPr>
        <w:br/>
        <w:t xml:space="preserve">в 2025 году реализуется проект по популяризации здорового образа жизни «По тропе здоровья!». В рамках реализации проекта состоялись </w:t>
      </w:r>
      <w:r>
        <w:rPr>
          <w:szCs w:val="24"/>
        </w:rPr>
        <w:t xml:space="preserve">квест</w:t>
      </w:r>
      <w:r>
        <w:rPr>
          <w:szCs w:val="24"/>
        </w:rPr>
        <w:t xml:space="preserve">-игра «З</w:t>
      </w:r>
      <w:r>
        <w:t xml:space="preserve">доров будешь – все добудешь», дилижанс здоровья «В поисках страны здоровья».</w:t>
      </w:r>
    </w:p>
    <w:p>
      <w:pPr>
        <w:pBdr>
          <w:top w:val="none" w:color="000000" w:sz="4" w:space="0"/>
          <w:left w:val="none" w:color="000000" w:sz="4" w:space="0"/>
          <w:bottom w:val="none" w:color="000000" w:sz="4" w:space="0"/>
          <w:right w:val="none" w:color="000000" w:sz="4" w:space="0"/>
        </w:pBdr>
        <w:spacing w:line="276" w:lineRule="auto"/>
        <w:ind w:firstLine="709"/>
      </w:pPr>
      <w:r>
        <w:rPr>
          <w:color w:val="000000"/>
        </w:rPr>
        <w:t xml:space="preserve">В культурно-досуговых учреждениях Сургута проведены лекции-встречи с привлечением сотрудников Управления МВД России по городу </w:t>
      </w:r>
      <w:r>
        <w:rPr>
          <w:color w:val="000000"/>
        </w:rPr>
        <w:t xml:space="preserve">Сургуту, специалистов бюджетного учреждения автономного округа «Сургутская клиническая психоневрологическая больница». Организовано более 300 бесплатных мероприятий в год (выставки, экскурсии, в том числе виртуальные, игровые программы, занятия в кружках, </w:t>
      </w:r>
      <w:r>
        <w:rPr>
          <w:color w:val="000000"/>
        </w:rPr>
        <w:t xml:space="preserve">видеопросмотры</w:t>
      </w:r>
      <w:r>
        <w:rPr>
          <w:color w:val="000000"/>
        </w:rPr>
        <w:t xml:space="preserve">, мастер-классы, фестивали, концерты, конкурсы, спектакли) предлагаются для разновозрастной аудитории, в том числе и для несовершеннолетних.</w:t>
      </w:r>
      <w:r>
        <w:t xml:space="preserve"> </w:t>
      </w:r>
      <w:r>
        <w:rPr>
          <w:szCs w:val="24"/>
        </w:rPr>
        <w:t xml:space="preserve">Также в рамках Всемирного дня без табака работниками учреждений культуры были распространены памятки по профилактике </w:t>
      </w:r>
      <w:r>
        <w:rPr>
          <w:szCs w:val="24"/>
        </w:rPr>
        <w:t xml:space="preserve">табакокурения</w:t>
      </w:r>
      <w:r>
        <w:rPr>
          <w:szCs w:val="24"/>
        </w:rPr>
        <w:t xml:space="preserve">.</w:t>
      </w:r>
    </w:p>
    <w:p>
      <w:pPr>
        <w:pBdr>
          <w:top w:val="none" w:color="000000" w:sz="0" w:space="0"/>
          <w:left w:val="none" w:color="000000" w:sz="0" w:space="0"/>
          <w:bottom w:val="none" w:color="000000" w:sz="0" w:space="0"/>
          <w:right w:val="none" w:color="000000" w:sz="0" w:space="0"/>
        </w:pBdr>
        <w:spacing w:line="276" w:lineRule="auto"/>
        <w:ind w:firstLine="709"/>
        <w:rPr>
          <w:color w:val="000000"/>
        </w:rPr>
      </w:pPr>
      <w:r>
        <w:rPr>
          <w:rFonts w:eastAsia="Liberation Sans"/>
          <w:color w:val="000000" w:themeColor="text1"/>
        </w:rPr>
        <w:t xml:space="preserve">«Центральная библиотека им. Л.И. </w:t>
      </w:r>
      <w:r>
        <w:rPr>
          <w:rFonts w:eastAsia="Liberation Sans"/>
          <w:color w:val="000000" w:themeColor="text1"/>
        </w:rPr>
        <w:t xml:space="preserve">Либова</w:t>
      </w:r>
      <w:r>
        <w:rPr>
          <w:rFonts w:eastAsia="Liberation Sans"/>
          <w:color w:val="000000" w:themeColor="text1"/>
        </w:rPr>
        <w:t xml:space="preserve">» муниципального автономного учреждения автономного округа «Культура» (г. Урай)</w:t>
      </w:r>
      <w:r>
        <w:rPr>
          <w:rFonts w:eastAsia="Liberation Sans"/>
          <w:color w:val="000000" w:themeColor="text1"/>
        </w:rPr>
        <w:br/>
        <w:t xml:space="preserve">с 2021 года реализует проект «Центр наглядной профилак</w:t>
      </w:r>
      <w:r>
        <w:rPr>
          <w:rFonts w:eastAsia="Liberation Sans"/>
          <w:color w:val="000000" w:themeColor="text1"/>
        </w:rPr>
        <w:t xml:space="preserve">тики наркомании». В декабре 2024 года на заседании Антинаркотической комиссии автономного округа, состоявшемся под председательством Губернатора автономного округа, опыт реализации проекта получил положительную оценку и рекомендован к тиражированию в Югре.</w:t>
      </w:r>
      <w:r>
        <w:rPr>
          <w:color w:val="000000"/>
        </w:rPr>
      </w:r>
    </w:p>
    <w:p>
      <w:pPr>
        <w:spacing w:line="276" w:lineRule="auto"/>
        <w:ind w:firstLine="709"/>
        <w:rPr>
          <w:color w:val="000000" w:themeColor="text1"/>
        </w:rPr>
      </w:pPr>
      <w:r>
        <w:rPr>
          <w:rFonts w:eastAsia="Liberation Sans"/>
          <w:color w:val="000000" w:themeColor="text1"/>
        </w:rPr>
        <w:t xml:space="preserve">С февраля 2025 года с целью проведения профилактических мероприятий по профилактике наркомании среди подростков, организованы передвижные выставки проекта в следующие муниципальные образования автономного округа: </w:t>
      </w:r>
      <w:r>
        <w:rPr>
          <w:rFonts w:eastAsia="Liberation Sans"/>
          <w:color w:val="000000" w:themeColor="text1"/>
        </w:rPr>
        <w:t xml:space="preserve">Кондинский</w:t>
      </w:r>
      <w:r>
        <w:rPr>
          <w:rFonts w:eastAsia="Liberation Sans"/>
          <w:color w:val="000000" w:themeColor="text1"/>
        </w:rPr>
        <w:t xml:space="preserve"> район, города </w:t>
      </w:r>
      <w:r>
        <w:rPr>
          <w:rFonts w:eastAsia="Liberation Sans"/>
          <w:color w:val="000000" w:themeColor="text1"/>
        </w:rPr>
        <w:t xml:space="preserve">Югорск</w:t>
      </w:r>
      <w:r>
        <w:rPr>
          <w:rFonts w:eastAsia="Liberation Sans"/>
          <w:color w:val="000000" w:themeColor="text1"/>
        </w:rPr>
        <w:t xml:space="preserve">, Советский, </w:t>
      </w:r>
      <w:r>
        <w:t xml:space="preserve">Нягань и </w:t>
      </w:r>
      <w:r>
        <w:rPr>
          <w:shd w:val="clear" w:color="auto" w:fill="ffffff"/>
        </w:rPr>
        <w:t xml:space="preserve">Ханты-Мансийск. Все выездные передвижные выставки организованы на базе библиотек муниципальных образований Югры. Всего состоялось: 50 выездных мероприятий, общее количество участников мероприятий – 1 057 человек. </w:t>
      </w:r>
      <w:r>
        <w:rPr>
          <w:color w:val="000000" w:themeColor="text1"/>
        </w:rPr>
      </w:r>
    </w:p>
    <w:p>
      <w:pPr>
        <w:spacing w:line="276" w:lineRule="auto"/>
        <w:ind w:firstLine="709"/>
      </w:pPr>
      <w:r>
        <w:t xml:space="preserve">В Ханты-Мансийске муниципальными учреждениями культуры проведено 27 мероприятий, направленных на формирование культуры здорового и безопасного образа жизни у подрастающего поколения: ин</w:t>
      </w:r>
      <w:r>
        <w:t xml:space="preserve">формационный час «Закон и наркотики» ко Всемирному дню здоровья с участием врача-терапевта бюджетного учреждения высшего образования «Ханты-Мансийская государственная медицинская академия»; час полезного совета «Здоровье прежде всего» с участием студентов </w:t>
      </w:r>
      <w:r>
        <w:br/>
        <w:t xml:space="preserve">Ханты-Мансийской государственной медицинской академии, которые рассказали обучающимся общеобразовательных учреждений об опасности вредных привычек, о вреде наркотических средств и правилах здорового образа жизни.</w:t>
      </w:r>
    </w:p>
    <w:p>
      <w:pPr>
        <w:spacing w:line="276" w:lineRule="auto"/>
        <w:ind w:firstLine="709"/>
      </w:pPr>
      <w:r>
        <w:t xml:space="preserve">В 2025 году муниципальными учреждениями культуры проведено 5298 мероприятий с общим количеством участников: 444649 человек.</w:t>
      </w:r>
    </w:p>
    <w:p>
      <w:pPr>
        <w:spacing w:line="276" w:lineRule="auto"/>
        <w:ind w:firstLine="709"/>
      </w:pPr>
      <w:r>
        <w:t xml:space="preserve">Мероприятия, проводимые учреждениями культуры, способствуют формированию негативного отношения к незаконному обороту и потреблению наркотических веществ благодаря активной вовлеченности в процесс воспитания, просвещения и профилактики. </w:t>
      </w:r>
    </w:p>
    <w:p>
      <w:pPr>
        <w:spacing w:line="276" w:lineRule="auto"/>
        <w:ind w:firstLine="709"/>
        <w:rPr>
          <w:bCs/>
          <w:highlight w:val="white"/>
        </w:rPr>
      </w:pPr>
      <w:r>
        <w:rPr>
          <w:highlight w:val="white"/>
        </w:rPr>
        <w:t xml:space="preserve">В организациях, </w:t>
      </w:r>
      <w:r>
        <w:rPr>
          <w:bCs/>
          <w:color w:val="000000"/>
          <w:highlight w:val="white"/>
        </w:rPr>
        <w:t xml:space="preserve">подведомственных </w:t>
      </w:r>
      <w:r>
        <w:rPr>
          <w:bCs/>
          <w:i/>
          <w:iCs/>
          <w:color w:val="000000"/>
          <w:highlight w:val="white"/>
        </w:rPr>
        <w:t xml:space="preserve">Департаменту социального развития </w:t>
      </w:r>
      <w:r>
        <w:rPr>
          <w:i/>
          <w:iCs/>
          <w:color w:val="000000"/>
        </w:rPr>
        <w:t xml:space="preserve">Ханты-Мансийского автономного округа – Югры</w:t>
      </w:r>
      <w:r>
        <w:rPr>
          <w:i/>
          <w:color w:val="000000"/>
        </w:rPr>
        <w:t xml:space="preserve">,</w:t>
      </w:r>
      <w:r>
        <w:rPr>
          <w:color w:val="000000"/>
        </w:rPr>
        <w:t xml:space="preserve"> </w:t>
      </w:r>
      <w:r>
        <w:rPr>
          <w:highlight w:val="white"/>
        </w:rPr>
        <w:t xml:space="preserve">независимо от организационно-правовых форм в 2025 году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Pr>
          <w:bCs/>
          <w:highlight w:val="white"/>
        </w:rPr>
        <w:t xml:space="preserve">круглые столы, дискуссии, коррекционные занятия, тренинги и др.).</w:t>
      </w:r>
      <w:r>
        <w:rPr>
          <w:bCs/>
          <w:highlight w:val="white"/>
        </w:rPr>
      </w:r>
    </w:p>
    <w:p>
      <w:pPr>
        <w:spacing w:line="276" w:lineRule="auto"/>
        <w:ind w:firstLine="709"/>
        <w:rPr>
          <w:color w:val="000000"/>
          <w:highlight w:val="white"/>
        </w:rPr>
      </w:pPr>
      <w:r>
        <w:rPr>
          <w:bCs/>
          <w:color w:val="000000"/>
          <w:highlight w:val="white"/>
        </w:rPr>
        <w:t xml:space="preserve">С целью пропаганды здорового образа жизни </w:t>
      </w:r>
      <w:r>
        <w:rPr>
          <w:bCs/>
          <w:color w:val="000000"/>
          <w:highlight w:val="white"/>
        </w:rPr>
        <w:t xml:space="preserve">Депсоцразвития</w:t>
      </w:r>
      <w:r>
        <w:rPr>
          <w:bCs/>
          <w:color w:val="000000"/>
          <w:highlight w:val="white"/>
        </w:rPr>
        <w:t xml:space="preserve"> Югры выстроена системная работа подведомственных учреждений </w:t>
      </w:r>
      <w:r>
        <w:rPr>
          <w:bCs/>
          <w:color w:val="000000"/>
          <w:highlight w:val="white"/>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w:t>
      </w:r>
      <w:r>
        <w:rPr>
          <w:bCs/>
          <w:color w:val="000000"/>
          <w:highlight w:val="white"/>
        </w:rPr>
        <w:t xml:space="preserve">табакокурения</w:t>
      </w:r>
      <w:r>
        <w:rPr>
          <w:bCs/>
          <w:color w:val="000000"/>
          <w:highlight w:val="white"/>
        </w:rPr>
        <w:t xml:space="preserve"> среди несовершеннолетних в виде:</w:t>
      </w:r>
      <w:r>
        <w:rPr>
          <w:color w:val="000000"/>
          <w:highlight w:val="white"/>
        </w:rPr>
      </w:r>
    </w:p>
    <w:p>
      <w:pPr>
        <w:spacing w:line="276" w:lineRule="auto"/>
        <w:ind w:firstLine="709"/>
        <w:rPr>
          <w:color w:val="000000"/>
          <w:highlight w:val="white"/>
        </w:rPr>
      </w:pPr>
      <w:r>
        <w:rPr>
          <w:bCs/>
          <w:color w:val="000000"/>
          <w:highlight w:val="white"/>
        </w:rPr>
        <w:t xml:space="preserve">проведения </w:t>
      </w:r>
      <w:r>
        <w:rPr>
          <w:bCs/>
          <w:color w:val="000000"/>
          <w:highlight w:val="white"/>
        </w:rPr>
        <w:t xml:space="preserve">квестов</w:t>
      </w:r>
      <w:r>
        <w:rPr>
          <w:bCs/>
          <w:color w:val="000000"/>
          <w:highlight w:val="white"/>
        </w:rPr>
        <w:t xml:space="preserve">, тематических бесед и демонстрации фильмов;</w:t>
      </w:r>
      <w:r>
        <w:rPr>
          <w:color w:val="000000"/>
          <w:highlight w:val="white"/>
        </w:rPr>
      </w:r>
    </w:p>
    <w:p>
      <w:pPr>
        <w:spacing w:line="276" w:lineRule="auto"/>
        <w:ind w:firstLine="709"/>
        <w:rPr>
          <w:color w:val="000000"/>
          <w:highlight w:val="white"/>
        </w:rPr>
      </w:pPr>
      <w:r>
        <w:rPr>
          <w:bCs/>
          <w:color w:val="000000"/>
          <w:highlight w:val="white"/>
        </w:rPr>
        <w:t xml:space="preserve">распространения информационных буклетов;</w:t>
      </w:r>
      <w:r>
        <w:rPr>
          <w:color w:val="000000"/>
          <w:highlight w:val="white"/>
        </w:rPr>
      </w:r>
    </w:p>
    <w:p>
      <w:pPr>
        <w:spacing w:line="276" w:lineRule="auto"/>
        <w:ind w:firstLine="709"/>
        <w:rPr>
          <w:color w:val="000000"/>
          <w:highlight w:val="white"/>
        </w:rPr>
      </w:pPr>
      <w:r>
        <w:rPr>
          <w:bCs/>
          <w:color w:val="000000"/>
          <w:highlight w:val="white"/>
        </w:rPr>
        <w:t xml:space="preserve">участия в мероприятиях, организованных Управлением МВД России по автономному округу с несовершеннолетними и их родителями, включая ежегодные месячники антинаркотической направленности и популяризации здорового образа жизни,</w:t>
      </w:r>
      <w:r>
        <w:rPr>
          <w:highlight w:val="white"/>
        </w:rPr>
        <w:t xml:space="preserve"> межведомственную комплексную оперативно-профилактическую операцию «Дети России»</w:t>
      </w:r>
      <w:r>
        <w:rPr>
          <w:bCs/>
          <w:color w:val="000000"/>
          <w:highlight w:val="white"/>
        </w:rPr>
        <w:t xml:space="preserve"> на территории автономного округа.</w:t>
      </w:r>
      <w:r>
        <w:rPr>
          <w:color w:val="000000"/>
          <w:highlight w:val="white"/>
        </w:rPr>
      </w:r>
    </w:p>
    <w:p>
      <w:pPr>
        <w:spacing w:line="276" w:lineRule="auto"/>
        <w:ind w:firstLine="709"/>
        <w:rPr>
          <w:highlight w:val="white"/>
        </w:rPr>
      </w:pPr>
      <w:r>
        <w:rPr>
          <w:highlight w:val="white"/>
        </w:rPr>
        <w:t xml:space="preserve">Также учреждениями, подведомственными </w:t>
      </w:r>
      <w:r>
        <w:rPr>
          <w:highlight w:val="white"/>
        </w:rPr>
        <w:t xml:space="preserve">Депсоцразвития</w:t>
      </w:r>
      <w:r>
        <w:rPr>
          <w:highlight w:val="white"/>
        </w:rPr>
        <w:t xml:space="preserve"> Югры, проводится профилактическая работа с гражданами, на которых судом возложена обязанно</w:t>
      </w:r>
      <w:r>
        <w:rPr>
          <w:highlight w:val="white"/>
        </w:rPr>
        <w:t xml:space="preserve">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r>
        <w:rPr>
          <w:highlight w:val="white"/>
        </w:rPr>
      </w:r>
    </w:p>
    <w:p>
      <w:pPr>
        <w:spacing w:line="276" w:lineRule="auto"/>
        <w:ind w:firstLine="709"/>
      </w:pPr>
      <w:r>
        <w:rPr>
          <w:color w:val="000000"/>
          <w:highlight w:val="white"/>
        </w:rPr>
        <w:t xml:space="preserve">Работа ведется в следующем порядке: Управление Министерства внутренних дел Российской Федерации по автономному округу направляет в </w:t>
      </w:r>
      <w:r>
        <w:rPr>
          <w:color w:val="000000"/>
          <w:highlight w:val="white"/>
        </w:rPr>
        <w:t xml:space="preserve">Депсоцразвития</w:t>
      </w:r>
      <w:r>
        <w:rPr>
          <w:color w:val="000000"/>
          <w:highlight w:val="white"/>
        </w:rPr>
        <w:t xml:space="preserve"> </w:t>
      </w:r>
      <w:r>
        <w:rPr>
          <w:color w:val="000000"/>
          <w:highlight w:val="white"/>
        </w:rPr>
        <w:t xml:space="preserve">Югры 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w:t>
      </w:r>
      <w:r>
        <w:rPr>
          <w:color w:val="000000"/>
          <w:highlight w:val="white"/>
        </w:rPr>
        <w:t xml:space="preserve">назначения врача. На основании данных списков, специалистами учреждений орга</w:t>
      </w:r>
      <w:r>
        <w:rPr>
          <w:color w:val="000000"/>
          <w:highlight w:val="white"/>
        </w:rPr>
        <w:t xml:space="preserve">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 </w:t>
      </w:r>
      <w:r>
        <w:rPr>
          <w:highlight w:val="white"/>
        </w:rPr>
        <w:t xml:space="preserve">В 2025 году о возможности получения сертификата на социальные услуги, реабилитационных мероприятий проинформированы 529 граждан (2024 год – 584 гражданина).</w:t>
      </w:r>
    </w:p>
    <w:p>
      <w:pPr>
        <w:pBdr>
          <w:top w:val="none" w:color="000000" w:sz="4" w:space="0"/>
          <w:left w:val="none" w:color="000000" w:sz="4" w:space="0"/>
          <w:bottom w:val="none" w:color="000000" w:sz="4" w:space="0"/>
          <w:right w:val="none" w:color="000000" w:sz="4" w:space="0"/>
        </w:pBdr>
        <w:spacing w:line="276" w:lineRule="auto"/>
        <w:ind w:firstLine="709"/>
      </w:pPr>
      <w:r>
        <w:rPr>
          <w:color w:val="000000"/>
        </w:rPr>
        <w:t xml:space="preserve">В целях снижения уровня вовлеченности несовершеннолетних </w:t>
      </w:r>
      <w:r>
        <w:rPr>
          <w:color w:val="000000"/>
        </w:rPr>
        <w:br/>
        <w:t xml:space="preserve">в незаконный оборот наркотических средств и психотропных веществ несовершеннолетних получателей социальных услуг приказом </w:t>
      </w:r>
      <w:r>
        <w:rPr>
          <w:color w:val="000000"/>
        </w:rPr>
        <w:t xml:space="preserve">Депсоцразвития</w:t>
      </w:r>
      <w:r>
        <w:rPr>
          <w:color w:val="000000"/>
        </w:rPr>
        <w:t xml:space="preserve"> Югры утвержден отраслевой план мероприятий </w:t>
      </w:r>
      <w:r>
        <w:rPr>
          <w:color w:val="000000"/>
        </w:rPr>
        <w:br/>
        <w:t xml:space="preserve">по профилактике наркомании среди подростков и молодежи, формированию у них навыков здорового образа жиз</w:t>
      </w:r>
      <w:r>
        <w:rPr>
          <w:color w:val="000000" w:themeColor="text1"/>
        </w:rPr>
        <w:t xml:space="preserve">ни</w:t>
      </w:r>
      <w:r>
        <w:rPr>
          <w:color w:val="000000" w:themeColor="text1"/>
          <w:vertAlign w:val="superscript"/>
        </w:rPr>
        <w:footnoteReference w:id="40"/>
      </w:r>
      <w:r>
        <w:rPr>
          <w:color w:val="000000" w:themeColor="text1"/>
          <w:vertAlign w:val="superscript"/>
        </w:rPr>
        <w:t xml:space="preserve">, </w:t>
      </w:r>
      <w:r>
        <w:rPr>
          <w:color w:val="000000" w:themeColor="text1"/>
        </w:rPr>
        <w:t xml:space="preserve">которы</w:t>
      </w:r>
      <w:r>
        <w:rPr>
          <w:color w:val="000000"/>
        </w:rPr>
        <w:t xml:space="preserve">м предусмотрены следующие мероприятия:</w:t>
      </w:r>
    </w:p>
    <w:p>
      <w:pPr>
        <w:pBdr>
          <w:top w:val="none" w:color="000000" w:sz="4" w:space="0"/>
          <w:left w:val="none" w:color="000000" w:sz="4" w:space="0"/>
          <w:bottom w:val="none" w:color="000000" w:sz="4" w:space="0"/>
          <w:right w:val="none" w:color="000000" w:sz="4" w:space="0"/>
        </w:pBdr>
        <w:spacing w:line="276" w:lineRule="auto"/>
        <w:ind w:firstLine="709"/>
      </w:pPr>
      <w:r>
        <w:rPr>
          <w:color w:val="000000"/>
        </w:rPr>
        <w:t xml:space="preserve">проведение физкультурных мероприятий, акций, направленных </w:t>
      </w:r>
      <w:r>
        <w:rPr>
          <w:color w:val="000000"/>
        </w:rPr>
        <w:br/>
        <w:t xml:space="preserve">на пропаганду здорового образа жизни, с несовершеннолетними получателями социальных услуг (в 2025 г. организованы 1 770 мероприятий для 5 932 получателей социальных услуг, в 2024 г. – 967 мероприятий для 4563 получателей социальных услуг);</w:t>
      </w:r>
    </w:p>
    <w:p>
      <w:pPr>
        <w:pBdr>
          <w:top w:val="none" w:color="000000" w:sz="4" w:space="0"/>
          <w:left w:val="none" w:color="000000" w:sz="4" w:space="0"/>
          <w:bottom w:val="none" w:color="000000" w:sz="4" w:space="0"/>
          <w:right w:val="none" w:color="000000" w:sz="4" w:space="0"/>
        </w:pBdr>
        <w:spacing w:line="276" w:lineRule="auto"/>
        <w:ind w:firstLine="709"/>
        <w:rPr>
          <w:highlight w:val="white"/>
        </w:rPr>
      </w:pPr>
      <w:r>
        <w:rPr>
          <w:color w:val="000000"/>
          <w:highlight w:val="white"/>
        </w:rPr>
        <w:t xml:space="preserve">проведение с несовершеннолетними получателями социальных услуг, их родителями (законными представителями) мероприятий, направленных на повышение правовой грамотности об ответственности за потребление и распростране</w:t>
      </w:r>
      <w:r>
        <w:rPr>
          <w:color w:val="000000"/>
          <w:highlight w:val="white"/>
        </w:rPr>
        <w:t xml:space="preserve">ние наркотических средств, с привлечением работников правоохранительных органов (в 2025 г. организованы 1 011 мероприятий для 4 075 несовершеннолетних получателей социальных услуг, 1 540 родителей (законных представителей), в 2024 г. – 257 мероприятий для </w:t>
      </w:r>
      <w:r>
        <w:rPr>
          <w:highlight w:val="white"/>
        </w:rPr>
        <w:t xml:space="preserve">2 511 </w:t>
      </w:r>
      <w:r>
        <w:rPr>
          <w:color w:val="000000"/>
          <w:highlight w:val="white"/>
        </w:rPr>
        <w:t xml:space="preserve">несовершеннолетних получателей социальных услуг, 781 родителя (законного представителя));</w:t>
      </w:r>
      <w:r>
        <w:rPr>
          <w:highlight w:val="white"/>
        </w:rPr>
      </w:r>
    </w:p>
    <w:p>
      <w:pPr>
        <w:pBdr>
          <w:top w:val="none" w:color="000000" w:sz="4" w:space="0"/>
          <w:left w:val="none" w:color="000000" w:sz="4" w:space="0"/>
          <w:bottom w:val="none" w:color="000000" w:sz="4" w:space="0"/>
          <w:right w:val="none" w:color="000000" w:sz="4" w:space="0"/>
        </w:pBdr>
        <w:spacing w:line="276" w:lineRule="auto"/>
        <w:ind w:firstLine="709"/>
        <w:rPr>
          <w:color w:val="000000"/>
          <w:highlight w:val="white"/>
        </w:rPr>
      </w:pPr>
      <w:r>
        <w:rPr>
          <w:color w:val="000000"/>
        </w:rPr>
        <w:t xml:space="preserve">п</w:t>
      </w:r>
      <w:r>
        <w:rPr>
          <w:color w:val="000000"/>
          <w:highlight w:val="white"/>
        </w:rPr>
        <w:t xml:space="preserve">роведение с несовершеннолетними получателями социальных услуг, их родителями (законными представителями) просветительских мероприятий о негативных последствиях употребления психоактивных веществ, наркотических препаратов, алкоголя, </w:t>
      </w:r>
      <w:r>
        <w:rPr>
          <w:color w:val="000000"/>
          <w:highlight w:val="white"/>
        </w:rPr>
        <w:t xml:space="preserve">никотиносодержащей</w:t>
      </w:r>
      <w:r>
        <w:rPr>
          <w:color w:val="000000"/>
          <w:highlight w:val="white"/>
        </w:rPr>
        <w:t xml:space="preserve"> продукции с привлечением сотрудников медицинских организаций, в том числе Центра </w:t>
      </w:r>
      <w:r>
        <w:rPr>
          <w:color w:val="000000"/>
          <w:highlight w:val="white"/>
        </w:rPr>
        <w:t xml:space="preserve">профилактики и борьбы со СПИД </w:t>
      </w:r>
      <w:r>
        <w:rPr>
          <w:color w:val="000000"/>
        </w:rPr>
        <w:t xml:space="preserve">(в 2025 г. организованы 517 мероприятий для 2 808 несовершеннолетних получателей социальных услуг, </w:t>
      </w:r>
      <w:r>
        <w:rPr>
          <w:color w:val="000000"/>
          <w:highlight w:val="white"/>
        </w:rPr>
        <w:t xml:space="preserve">1 099 родителей (законных представителей), в 2024 г. – 245 мероприятий для 1 917 несовершенн</w:t>
      </w:r>
      <w:r>
        <w:rPr>
          <w:color w:val="000000"/>
        </w:rPr>
        <w:t xml:space="preserve">олетних получателей социальных услуг, 845 родителей (законных представите</w:t>
      </w:r>
      <w:r>
        <w:rPr>
          <w:color w:val="000000"/>
          <w:highlight w:val="white"/>
        </w:rPr>
        <w:t xml:space="preserve">лей);</w:t>
      </w:r>
      <w:r>
        <w:rPr>
          <w:color w:val="000000"/>
          <w:highlight w:val="white"/>
        </w:rPr>
      </w:r>
    </w:p>
    <w:p>
      <w:pPr>
        <w:pBdr>
          <w:top w:val="none" w:color="000000" w:sz="4" w:space="0"/>
          <w:left w:val="none" w:color="000000" w:sz="4" w:space="0"/>
          <w:bottom w:val="none" w:color="000000" w:sz="4" w:space="0"/>
          <w:right w:val="none" w:color="000000" w:sz="4" w:space="0"/>
        </w:pBdr>
        <w:spacing w:line="276" w:lineRule="auto"/>
        <w:ind w:firstLine="709"/>
        <w:rPr>
          <w:highlight w:val="white"/>
        </w:rPr>
      </w:pPr>
      <w:r>
        <w:rPr>
          <w:color w:val="000000"/>
          <w:highlight w:val="white"/>
        </w:rPr>
        <w:t xml:space="preserve">изготовление и распространение информационных материалов (л</w:t>
      </w:r>
      <w:r>
        <w:rPr>
          <w:color w:val="000000"/>
          <w:highlight w:val="white"/>
        </w:rPr>
        <w:t xml:space="preserve">истовок, брошюр), внедрение и использование методических материалов, наглядных пособий для родителей (законных представителей) несовершеннолетних, посвященных пропаганде здорового образа жизни, профилактике потребления наркотических и психотропных веществ </w:t>
      </w:r>
      <w:r>
        <w:rPr>
          <w:color w:val="000000"/>
          <w:highlight w:val="white"/>
        </w:rPr>
        <w:br/>
        <w:t xml:space="preserve">в немедицинских целях, а также спиртосодержащей продукции</w:t>
      </w:r>
      <w:r>
        <w:rPr>
          <w:color w:val="000000"/>
        </w:rPr>
        <w:t xml:space="preserve"> </w:t>
      </w:r>
      <w:r>
        <w:rPr>
          <w:color w:val="000000"/>
        </w:rPr>
        <w:br/>
        <w:t xml:space="preserve">(в 2025 г. распространены 8 707 информационных матери</w:t>
      </w:r>
      <w:r>
        <w:rPr>
          <w:color w:val="000000"/>
          <w:highlight w:val="white"/>
        </w:rPr>
        <w:t xml:space="preserve">алов, </w:t>
      </w:r>
      <w:r>
        <w:rPr>
          <w:color w:val="000000"/>
          <w:highlight w:val="white"/>
        </w:rPr>
        <w:br/>
        <w:t xml:space="preserve">в 2024 г. – 9 017 информационных материалов);</w:t>
      </w:r>
      <w:r>
        <w:rPr>
          <w:highlight w:val="white"/>
        </w:rPr>
      </w:r>
    </w:p>
    <w:p>
      <w:pPr>
        <w:pBdr>
          <w:top w:val="none" w:color="000000" w:sz="4" w:space="0"/>
          <w:left w:val="none" w:color="000000" w:sz="4" w:space="0"/>
          <w:bottom w:val="none" w:color="000000" w:sz="4" w:space="0"/>
          <w:right w:val="none" w:color="000000" w:sz="4" w:space="0"/>
        </w:pBdr>
        <w:spacing w:line="276" w:lineRule="auto"/>
        <w:ind w:firstLine="709"/>
        <w:rPr>
          <w:highlight w:val="white"/>
        </w:rPr>
      </w:pPr>
      <w:r>
        <w:rPr>
          <w:color w:val="000000"/>
        </w:rPr>
        <w:t xml:space="preserve">п</w:t>
      </w:r>
      <w:r>
        <w:rPr>
          <w:color w:val="000000"/>
          <w:highlight w:val="white"/>
        </w:rPr>
        <w:t xml:space="preserve">роведение консультаций, лекций, бесед для родителей (законных представителей) несовершеннолетних получателей социальных услуг по предупреждению потребления наркотических и психотропных веществ в немедицинских целях, а также спиртосодержащей продукции </w:t>
      </w:r>
      <w:r>
        <w:rPr>
          <w:color w:val="000000"/>
        </w:rPr>
        <w:br/>
        <w:t xml:space="preserve">(в 2025 г. проведе</w:t>
      </w:r>
      <w:r>
        <w:rPr>
          <w:color w:val="000000"/>
          <w:highlight w:val="white"/>
        </w:rPr>
        <w:t xml:space="preserve">ны 2 033 мероприятия для 5 064 родителей (законных представителей), в 2024 г. – 2 334 мероприятия для 3 763 родителей (законных представителей));</w:t>
      </w:r>
      <w:r>
        <w:rPr>
          <w:highlight w:val="white"/>
        </w:rPr>
      </w:r>
    </w:p>
    <w:p>
      <w:pPr>
        <w:pBdr>
          <w:top w:val="none" w:color="000000" w:sz="4" w:space="0"/>
          <w:left w:val="none" w:color="000000" w:sz="4" w:space="0"/>
          <w:bottom w:val="none" w:color="000000" w:sz="4" w:space="0"/>
          <w:right w:val="none" w:color="000000" w:sz="4" w:space="0"/>
        </w:pBdr>
        <w:spacing w:line="276" w:lineRule="auto"/>
        <w:ind w:firstLine="709"/>
        <w:rPr>
          <w:highlight w:val="white"/>
        </w:rPr>
      </w:pPr>
      <w:r>
        <w:rPr>
          <w:color w:val="000000"/>
          <w:highlight w:val="white"/>
        </w:rPr>
        <w:t xml:space="preserve">организация и проведение консультаций, лекций, бесед </w:t>
      </w:r>
      <w:r>
        <w:rPr>
          <w:color w:val="000000"/>
          <w:highlight w:val="white"/>
        </w:rPr>
        <w:br/>
        <w:t xml:space="preserve">для несовершеннолетних получателей социальных услуг и их родителей (законных представителей) по формированию </w:t>
      </w:r>
      <w:r>
        <w:rPr>
          <w:color w:val="000000"/>
          <w:highlight w:val="white"/>
        </w:rPr>
        <w:t xml:space="preserve">правопослушного</w:t>
      </w:r>
      <w:r>
        <w:rPr>
          <w:color w:val="000000"/>
          <w:highlight w:val="white"/>
        </w:rPr>
        <w:t xml:space="preserve"> поведения и навыков цифровой безопасности у детей в целях предотвращения их вовлечения в незаконный оборот наркотических средств, психотропных веществ, в том числе в цифровой среде</w:t>
      </w:r>
      <w:r>
        <w:rPr>
          <w:color w:val="000000"/>
        </w:rPr>
        <w:t xml:space="preserve"> (в 2025 г. проведены </w:t>
      </w:r>
      <w:r>
        <w:rPr>
          <w:color w:val="000000"/>
        </w:rPr>
        <w:br/>
        <w:t xml:space="preserve">2 111 мероприятий для 3 329 несовершеннолетн</w:t>
      </w:r>
      <w:r>
        <w:rPr>
          <w:color w:val="000000"/>
          <w:highlight w:val="white"/>
        </w:rPr>
        <w:t xml:space="preserve">их получателей социальных услуг, 5 411 родителя (законного представителя), в 2024 г. – </w:t>
      </w:r>
      <w:r>
        <w:rPr>
          <w:color w:val="000000"/>
          <w:highlight w:val="white"/>
        </w:rPr>
        <w:br/>
        <w:t xml:space="preserve">2 322 мероприятия для 5 264 несовершеннолетних получателей социальных услуг, 1 744 родителей (законных представителей));</w:t>
      </w:r>
      <w:r>
        <w:rPr>
          <w:highlight w:val="white"/>
        </w:rPr>
      </w:r>
    </w:p>
    <w:p>
      <w:pPr>
        <w:pBdr>
          <w:top w:val="none" w:color="000000" w:sz="4" w:space="0"/>
          <w:left w:val="none" w:color="000000" w:sz="4" w:space="0"/>
          <w:bottom w:val="none" w:color="000000" w:sz="4" w:space="0"/>
          <w:right w:val="none" w:color="000000" w:sz="4" w:space="0"/>
        </w:pBdr>
        <w:spacing w:line="276" w:lineRule="auto"/>
        <w:ind w:firstLine="709"/>
        <w:rPr>
          <w:highlight w:val="white"/>
        </w:rPr>
      </w:pPr>
      <w:r>
        <w:rPr>
          <w:color w:val="000000"/>
          <w:highlight w:val="white"/>
        </w:rPr>
        <w:t xml:space="preserve">демонстрация для родителей (законных пре</w:t>
      </w:r>
      <w:r>
        <w:rPr>
          <w:color w:val="000000"/>
        </w:rPr>
        <w:t xml:space="preserve">дставителей) социальных видеороликов об опасности Интернета для детей</w:t>
      </w:r>
      <w:r>
        <w:rPr>
          <w:color w:val="000000"/>
          <w:highlight w:val="white"/>
        </w:rPr>
        <w:t xml:space="preserve">, посредством которого подростков вовлекают в «группы смерти», в том числе наркотической направленности </w:t>
      </w:r>
      <w:r>
        <w:rPr>
          <w:color w:val="000000"/>
        </w:rPr>
        <w:t xml:space="preserve">(в</w:t>
      </w:r>
      <w:r>
        <w:rPr>
          <w:color w:val="000000"/>
          <w:highlight w:val="white"/>
        </w:rPr>
        <w:t xml:space="preserve"> 2025 г. организован просмотр 88 видеоматериалов для 2 371 родителей (законных представителей) в 2024 г. – </w:t>
      </w:r>
      <w:r>
        <w:rPr>
          <w:color w:val="000000"/>
          <w:highlight w:val="white"/>
        </w:rPr>
        <w:br/>
        <w:t xml:space="preserve">53 видеоматериалов для 1 018 родителей (законных представителей));</w:t>
      </w:r>
      <w:r>
        <w:rPr>
          <w:highlight w:val="white"/>
        </w:rPr>
      </w:r>
    </w:p>
    <w:p>
      <w:pPr>
        <w:spacing w:line="276" w:lineRule="auto"/>
        <w:ind w:firstLine="709"/>
        <w:rPr>
          <w:highlight w:val="white"/>
        </w:rPr>
      </w:pPr>
      <w:r>
        <w:rPr>
          <w:color w:val="000000"/>
        </w:rPr>
        <w:t xml:space="preserve">обеспечение контроля за фильтрацией контента (содержания) компьютеров учреждений, на которых проводятся занятия по различным программам, в том числе обучение по использованию Интернет-ресурсов на предмет наличия материалов с наркотической направленности.</w:t>
      </w:r>
      <w:r>
        <w:rPr>
          <w:highlight w:val="white"/>
        </w:rPr>
      </w:r>
    </w:p>
    <w:p>
      <w:pPr>
        <w:spacing w:line="276" w:lineRule="auto"/>
        <w:ind w:firstLine="709"/>
      </w:pPr>
      <w:r>
        <w:t xml:space="preserve">Одним из приоритетных направлений деятельности</w:t>
      </w:r>
      <w:r>
        <w:rPr>
          <w:i/>
        </w:rPr>
        <w:t xml:space="preserve"> Управления МВД России по Ханты-Мансийского автономному округу – Югре</w:t>
      </w:r>
      <w:r>
        <w:t xml:space="preserve"> остается сокращение спроса на наркотики, путем проведения </w:t>
      </w:r>
      <w:r>
        <w:t xml:space="preserve">мероприятий</w:t>
      </w:r>
      <w:r>
        <w:t xml:space="preserve"> направленных на профилактику </w:t>
      </w:r>
      <w:r>
        <w:t xml:space="preserve">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pPr>
        <w:spacing w:line="276" w:lineRule="auto"/>
        <w:ind w:firstLine="709"/>
      </w:pPr>
      <w:r>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2025 года принимали активное</w:t>
      </w:r>
      <w:r>
        <w:t xml:space="preserve"> участие в организации и проведении оперативно-профилактических мероприятий и акций: 2 этапа ОПМ «Подросток» (1 этап – с 03.03.2025 по 10.03.2025; 2 этап – с 22.09.2025 по 26.09.2025), два этапа Общероссийской акции «Сообщи, где торгуют смертью» (1 этап – </w:t>
      </w:r>
      <w:r>
        <w:t xml:space="preserve">с 24.03.2025 по 04.04.2025; 2 этап – с 13.10.2025 по 24.10.2025), два этапа Общероссийской акции «Призывник – Защитники Отечества» (1 этап – с 01.04.2025 по 15.07.2025; 2 этап – с 01.10.2025 по 01.12.2025), комплекс мероприятий Общероссийской акции «Время </w:t>
      </w:r>
      <w:r>
        <w:t xml:space="preserve">НЕзависимых</w:t>
      </w:r>
      <w:r>
        <w:t xml:space="preserve">», посвященных Международному дню борьбы со злоупотреблением наркотическими средствами и их незаконным оборотом (с 18.06.2025 по 27.06.2025), опер</w:t>
      </w:r>
      <w:r>
        <w:t xml:space="preserve">ативно-профилактическое мероприятие «Ты и закон» (с 29.07.2025 по 31.07.2025), два этапа межведомственной комплексной оперативно-профилактической операции «Чистое поколение – 2025» (1 этап – с 10.03.2025 по 19.03.2025; 2 этап – с 12.11.2025 по 21.11.2025).</w:t>
      </w:r>
    </w:p>
    <w:p>
      <w:pPr>
        <w:spacing w:line="276" w:lineRule="auto"/>
        <w:ind w:firstLine="709"/>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14 тысяч информационно-просветительских мероприятий для обучающихся образовательных учреждений Югры (14673, </w:t>
      </w:r>
      <w:r>
        <w:t xml:space="preserve">п.г</w:t>
      </w:r>
      <w:r>
        <w:t xml:space="preserve">.</w:t>
      </w:r>
      <w:r>
        <w:rPr>
          <w:rStyle w:val="1618"/>
        </w:rPr>
        <w:footnoteReference w:id="41"/>
      </w:r>
      <w:r>
        <w:t xml:space="preserve"> – 14193),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p>
    <w:p>
      <w:pPr>
        <w:spacing w:line="276" w:lineRule="auto"/>
        <w:ind w:firstLine="709"/>
      </w:pPr>
      <w:r>
        <w:t xml:space="preserve">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p>
    <w:p>
      <w:pPr>
        <w:spacing w:line="276" w:lineRule="auto"/>
        <w:ind w:firstLine="709"/>
        <w:rPr>
          <w:rFonts w:eastAsia="Arial Unicode MS"/>
        </w:rPr>
      </w:pPr>
      <w: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rPr>
      </w:r>
    </w:p>
    <w:p>
      <w:pPr>
        <w:spacing w:line="276" w:lineRule="auto"/>
        <w:ind w:firstLine="709"/>
      </w:pPr>
      <w:r>
        <w:t xml:space="preserve">Продолжена разъяснительная работа с родителями обучающихся, направленная на профилактику наркомании и </w:t>
      </w:r>
      <w:r>
        <w:t xml:space="preserve">наркопреступности</w:t>
      </w:r>
      <w:r>
        <w:t xml:space="preserve"> в подростковой и молодежной среде. С участием сотрудников полиции состоялось 1389 родительских собраний (</w:t>
      </w:r>
      <w:r>
        <w:t xml:space="preserve">п.г</w:t>
      </w:r>
      <w:r>
        <w:t xml:space="preserve">. – 1270), в том числе на указанные темы более 890 (</w:t>
      </w:r>
      <w:r>
        <w:t xml:space="preserve">п.г</w:t>
      </w:r>
      <w:r>
        <w:t xml:space="preserve">. – 802).</w:t>
      </w:r>
    </w:p>
    <w:p>
      <w:pPr>
        <w:spacing w:line="276" w:lineRule="auto"/>
        <w:ind w:firstLine="709"/>
      </w:pPr>
      <w:r>
        <w:t xml:space="preserve">В период ученических каникул с участием сотрудников подразделений по контролю за оборотом наркотиков и ОДН УМВД по округу, во взаимодействии с Д</w:t>
      </w:r>
      <w:r>
        <w:t xml:space="preserve">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440 (</w:t>
      </w:r>
      <w:r>
        <w:t xml:space="preserve">п.г</w:t>
      </w:r>
      <w:r>
        <w:t xml:space="preserve">. – 431) профилактических мероприятий, приуроченных к Международному дню борьбы с наркоманией и незаконным оборотом наркотиков.</w:t>
      </w:r>
    </w:p>
    <w:p>
      <w:pPr>
        <w:spacing w:line="276" w:lineRule="auto"/>
        <w:ind w:firstLine="709"/>
      </w:pPr>
      <w: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w:t>
      </w:r>
      <w:r>
        <w:t xml:space="preserve">иков, в период с 10 января по 20 февраля 2025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На конкурс поступило 177 (</w:t>
      </w:r>
      <w:r>
        <w:t xml:space="preserve">п.г</w:t>
      </w:r>
      <w:r>
        <w:t xml:space="preserve">. – 108) работ в трех номинациях.</w:t>
      </w:r>
    </w:p>
    <w:p>
      <w:pPr>
        <w:spacing w:line="276" w:lineRule="auto"/>
        <w:ind w:firstLine="709"/>
      </w:pPr>
      <w:r>
        <w:t xml:space="preserve">Для реализации мероприятий и акций профилактической напр</w:t>
      </w:r>
      <w:r>
        <w:t xml:space="preserve">авленности: Межведомственной оперативно-профилактической операции «Чистое поколение»,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w:t>
      </w:r>
      <w:r>
        <w:t xml:space="preserve">волонтеров и добровольцев, участвующих в проектах, направленных на пропаганду здорового образа жизни, профилактику алкоголизма, наркомании и </w:t>
      </w:r>
      <w:r>
        <w:t xml:space="preserve">табакокурения</w:t>
      </w:r>
      <w:r>
        <w:t xml:space="preserve"> в подростковой и молодежной среде.</w:t>
      </w:r>
    </w:p>
    <w:p>
      <w:pPr>
        <w:spacing w:line="276" w:lineRule="auto"/>
        <w:ind w:firstLine="709"/>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pPr>
        <w:spacing w:line="276" w:lineRule="auto"/>
        <w:ind w:firstLine="709"/>
      </w:pPr>
      <w:r>
        <w:t xml:space="preserve">В целях противодействия пропаганде и рекламе наркотиков в сети Интернет, а так</w:t>
      </w:r>
      <w: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t xml:space="preserve">Кибердружин</w:t>
      </w:r>
      <w:r>
        <w:t xml:space="preserve">», созданных в автономном округе продолжена работа по мониторингу сети интернет с последующей блокировкой ресурсов </w:t>
      </w:r>
      <w:r>
        <w:t xml:space="preserve">пронаркотического</w:t>
      </w:r>
      <w:r>
        <w:t xml:space="preserve"> содержания. </w:t>
      </w:r>
    </w:p>
    <w:p>
      <w:pPr>
        <w:spacing w:line="276" w:lineRule="auto"/>
        <w:ind w:firstLine="709"/>
      </w:pPr>
      <w:r>
        <w:t xml:space="preserve">В результате данного взаимодействия осуществлена проверка более семисот подозрительных ресурсов (730, </w:t>
      </w:r>
      <w:r>
        <w:t xml:space="preserve">п.г</w:t>
      </w:r>
      <w:r>
        <w:t xml:space="preserve">. – 740), заблокирован доступ к 17 ресурсам (</w:t>
      </w:r>
      <w:r>
        <w:t xml:space="preserve">п.г</w:t>
      </w:r>
      <w:r>
        <w:t xml:space="preserve">. – 11), содержащим противоправный контент, связанный с незаконным оборотом наркотиков и пропагандой их употребления.</w:t>
      </w:r>
    </w:p>
    <w:p>
      <w:pPr>
        <w:spacing w:line="276" w:lineRule="auto"/>
        <w:ind w:firstLine="709"/>
        <w:rPr>
          <w:i/>
          <w:sz w:val="24"/>
          <w:szCs w:val="24"/>
        </w:rPr>
      </w:pPr>
      <w:r>
        <w:rPr>
          <w:i/>
          <w:sz w:val="24"/>
          <w:szCs w:val="24"/>
        </w:rPr>
        <w:t xml:space="preserve">Справочно</w:t>
      </w:r>
      <w:r>
        <w:rPr>
          <w:i/>
          <w:sz w:val="24"/>
          <w:szCs w:val="24"/>
        </w:rPr>
        <w:t xml:space="preserve">: Кроме того,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59 Интернет-ресурсах (</w:t>
      </w:r>
      <w:r>
        <w:rPr>
          <w:i/>
          <w:sz w:val="24"/>
          <w:szCs w:val="24"/>
        </w:rPr>
        <w:t xml:space="preserve">п.г</w:t>
      </w:r>
      <w:r>
        <w:rPr>
          <w:i/>
          <w:sz w:val="24"/>
          <w:szCs w:val="24"/>
        </w:rPr>
        <w:t xml:space="preserve">. – 31). По данным сообщениям информация о наличии противоправного контента в сфере НОН подтверждена по 34 (</w:t>
      </w:r>
      <w:r>
        <w:rPr>
          <w:i/>
          <w:sz w:val="24"/>
          <w:szCs w:val="24"/>
        </w:rPr>
        <w:t xml:space="preserve">п.г</w:t>
      </w:r>
      <w:r>
        <w:rPr>
          <w:i/>
          <w:sz w:val="24"/>
          <w:szCs w:val="24"/>
        </w:rPr>
        <w:t xml:space="preserve">. – 18).</w:t>
      </w:r>
      <w:r>
        <w:rPr>
          <w:i/>
          <w:sz w:val="24"/>
          <w:szCs w:val="24"/>
        </w:rPr>
      </w:r>
    </w:p>
    <w:p>
      <w:pPr>
        <w:spacing w:line="276" w:lineRule="auto"/>
        <w:ind w:firstLine="709"/>
        <w:rPr>
          <w:rFonts w:eastAsia="Arial Unicode MS"/>
        </w:rPr>
      </w:pPr>
      <w:r>
        <w:rPr>
          <w:rFonts w:eastAsia="Arial Unicode MS"/>
        </w:rPr>
        <w:t xml:space="preserve">В результате реализованных в течение 2025 года профилактических мер, удалось достичь положительной тенденции по ряду направлений, характеризующих развитие наркоситуации на территории округа:</w:t>
      </w:r>
      <w:r>
        <w:rPr>
          <w:rFonts w:eastAsia="Arial Unicode MS"/>
        </w:rPr>
      </w:r>
    </w:p>
    <w:p>
      <w:pPr>
        <w:spacing w:line="276" w:lineRule="auto"/>
        <w:ind w:firstLine="709"/>
      </w:pPr>
      <w:r>
        <w:rPr>
          <w:rFonts w:eastAsia="Arial Unicode MS"/>
        </w:rPr>
        <w:t xml:space="preserve">- на 29,6% сократилось число наркопотребителей, </w:t>
      </w:r>
      <w:r>
        <w:t xml:space="preserve">участников преступных посягательств (с 864 до 608), в том числе совершивших </w:t>
      </w:r>
      <w:r>
        <w:t xml:space="preserve">наркопреступления</w:t>
      </w:r>
      <w:r>
        <w:t xml:space="preserve"> на 32% (с 544 до 370), а также лиц, состоящих на наркологических учетах в связи с потреблением наркотиков, совершивших преступления на 13,1% (со 122 до 106);</w:t>
      </w:r>
    </w:p>
    <w:p>
      <w:pPr>
        <w:spacing w:line="276" w:lineRule="auto"/>
        <w:ind w:firstLine="709"/>
      </w:pPr>
      <w:r>
        <w:t xml:space="preserve">- на 3,3% уменьшилось количество преступлений, совершенных в состоянии наркотического опьянения (с 60 до 58);</w:t>
      </w:r>
    </w:p>
    <w:p>
      <w:pPr>
        <w:spacing w:line="276" w:lineRule="auto"/>
        <w:ind w:firstLine="709"/>
      </w:pPr>
      <w:r>
        <w:t xml:space="preserve">- на 4,3% сократилась доля вовлеченных в незаконный оборот наркотиков, представителей молодежной среды в возрасте от 18 до 29 лет (с 35,6% до 31,3%);</w:t>
      </w:r>
    </w:p>
    <w:p>
      <w:pPr>
        <w:spacing w:line="276" w:lineRule="auto"/>
        <w:ind w:firstLine="709"/>
      </w:pPr>
      <w:r>
        <w:t xml:space="preserve">- на 49% сократилось количество пресеченных административных правонарушений в сфере НОН, совершенных несовершеннолетними (с 49 до 25);</w:t>
      </w:r>
    </w:p>
    <w:p>
      <w:pPr>
        <w:spacing w:line="276" w:lineRule="auto"/>
        <w:ind w:firstLine="709"/>
      </w:pPr>
      <w:r>
        <w:t xml:space="preserve">- на 3,7% числа несовершеннолетних, фактически задержанных в течение года за совершение </w:t>
      </w:r>
      <w:r>
        <w:t xml:space="preserve">наркопреступлений</w:t>
      </w:r>
      <w:r>
        <w:t xml:space="preserve"> на 31,8% (с 27 до 26).</w:t>
      </w:r>
    </w:p>
    <w:p>
      <w:pPr>
        <w:spacing w:line="276" w:lineRule="auto"/>
        <w:ind w:firstLine="709"/>
        <w:rPr>
          <w:b/>
          <w:highlight w:val="yellow"/>
        </w:rPr>
      </w:pPr>
      <w:r>
        <w:rPr>
          <w:b/>
          <w:highlight w:val="yellow"/>
        </w:rPr>
      </w:r>
      <w:r>
        <w:rPr>
          <w:b/>
          <w:highlight w:val="yellow"/>
        </w:rPr>
      </w:r>
    </w:p>
    <w:p>
      <w:pPr>
        <w:pStyle w:val="1624"/>
        <w:spacing w:after="0" w:line="276" w:lineRule="auto"/>
        <w:ind w:firstLine="709"/>
        <w:jc w:val="both"/>
        <w:outlineLvl w:val="0"/>
        <w:rPr>
          <w:b/>
          <w:i/>
          <w:sz w:val="28"/>
          <w:szCs w:val="28"/>
          <w:highlight w:val="white"/>
        </w:rPr>
      </w:pPr>
      <w:r>
        <w:rPr>
          <w:b/>
          <w:i/>
          <w:sz w:val="28"/>
          <w:szCs w:val="28"/>
          <w:highlight w:val="white"/>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rPr>
          <w:b/>
          <w:i/>
          <w:sz w:val="28"/>
          <w:szCs w:val="28"/>
          <w:highlight w:val="white"/>
        </w:rPr>
      </w:r>
    </w:p>
    <w:p>
      <w:pPr>
        <w:shd w:val="clear" w:color="auto" w:fill="ffffff"/>
        <w:spacing w:line="276" w:lineRule="auto"/>
        <w:ind w:firstLine="709"/>
      </w:pPr>
      <w:r>
        <w:rPr>
          <w:color w:val="000000"/>
        </w:rPr>
        <w:t xml:space="preserve">На территории автономного округа реализуется система раннего выявления лиц, допускающих </w:t>
      </w:r>
      <w:r>
        <w:rPr>
          <w:color w:val="000000"/>
        </w:rPr>
        <w:t xml:space="preserve">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w:t>
      </w:r>
    </w:p>
    <w:p>
      <w:pPr>
        <w:spacing w:line="276" w:lineRule="auto"/>
        <w:ind w:firstLine="709"/>
      </w:pPr>
      <w:r>
        <w:rPr>
          <w:color w:val="000000"/>
        </w:rPr>
        <w:t xml:space="preserve">В соответствии с </w:t>
      </w:r>
      <w:hyperlink r:id="rId40" w:tooltip="garantF1://12007402.53044" w:history="1">
        <w:r>
          <w:rPr>
            <w:color w:val="000000"/>
          </w:rPr>
          <w:t xml:space="preserve">пунктом 4 статьи 53.4</w:t>
        </w:r>
      </w:hyperlink>
      <w:r>
        <w:rPr>
          <w:color w:val="000000"/>
        </w:rPr>
        <w:t xml:space="preserve"> Федерального закона от 08.01.1998 № 3-ФЗ «О наркотических средствах и психотропных веществах» приказом Минздрава России от 06.10.2014 № 581н утвержден Порядок проведения профилактических медицинских осмотров обучающихся в</w:t>
      </w:r>
      <w:r>
        <w:rPr>
          <w:color w:val="000000"/>
        </w:rP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pPr>
        <w:spacing w:line="276" w:lineRule="auto"/>
        <w:ind w:firstLine="709"/>
      </w:pPr>
      <w:r>
        <w:rPr>
          <w:color w:val="000000"/>
        </w:rPr>
        <w:t xml:space="preserve">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pPr>
        <w:spacing w:line="276" w:lineRule="auto"/>
        <w:ind w:firstLine="709"/>
      </w:pPr>
      <w:r>
        <w:rPr>
          <w:color w:val="000000"/>
        </w:rPr>
        <w:t xml:space="preserve">По результатам социально-психологического тестирования в 2024-2025 учебном году профилактическим медицинским осмотрам подлежали 1 652 человека – группа </w:t>
      </w:r>
      <w:r>
        <w:rPr>
          <w:color w:val="000000"/>
        </w:rPr>
        <w:t xml:space="preserve">рискогенного</w:t>
      </w:r>
      <w:r>
        <w:rPr>
          <w:color w:val="000000"/>
        </w:rPr>
        <w:t xml:space="preserve"> поведения, в отношении которых были составлены календарные планы прохождения профилактических медицинских осмотров (2024 г. – 3 464 чел.). Охвачено профилактическими медицинскими осмотрами 1 158 человек (70,1%) от числа обучающихся из группы </w:t>
      </w:r>
      <w:r>
        <w:rPr>
          <w:color w:val="000000"/>
        </w:rPr>
        <w:t xml:space="preserve">рискогенного</w:t>
      </w:r>
      <w:r>
        <w:rPr>
          <w:color w:val="000000"/>
        </w:rPr>
        <w:t xml:space="preserve"> поведения (2024 г. – 2 217 чел., охват – 64,0%).</w:t>
      </w:r>
    </w:p>
    <w:p>
      <w:pPr>
        <w:spacing w:line="276" w:lineRule="auto"/>
        <w:ind w:firstLine="709"/>
      </w:pPr>
      <w:r>
        <w:rPr>
          <w:color w:val="000000"/>
        </w:rPr>
        <w:t xml:space="preserve">При этом количество обучающихся не прошедших профилактические медицинские осмотры по уважительным причинам, составило 67 чел., 4,1% </w:t>
      </w:r>
      <w:r>
        <w:rPr>
          <w:color w:val="000000"/>
        </w:rPr>
        <w:t xml:space="preserve">(2024 г. – 213 человек, 6,1%). Отказались от прохождения профилактических медицинских осмотров 427 чел., 25,8% (2024 г. – 1 034 человека, 29,8%). </w:t>
      </w:r>
    </w:p>
    <w:p>
      <w:pPr>
        <w:spacing w:line="276" w:lineRule="auto"/>
        <w:ind w:firstLine="709"/>
      </w:pPr>
      <w:r>
        <w:rPr>
          <w:color w:val="000000"/>
        </w:rPr>
        <w:t xml:space="preserve">Из числ</w:t>
      </w:r>
      <w:r>
        <w:rPr>
          <w:color w:val="000000"/>
        </w:rPr>
        <w:t xml:space="preserve">а осмотренных выявлены 2 случая положительных химико-токсикологических исследований (0,2%): по 1 случаю в СОШ г. Сургута и СОШ г. Ханты-Мансийска, в обоих случаях выявлены в биологических средах барбитураты. В одном случае обучающийся принимал назначенные </w:t>
      </w:r>
      <w:r>
        <w:rPr>
          <w:color w:val="000000"/>
        </w:rPr>
        <w:t xml:space="preserve">лечащим врачом препараты в связи с заболеванием, в другом - проведена профилактическая беседа. Показаний для медицинского наблюдения не выявлено. В 2024 году на этапе предварительных химико-токсикологических исследований получены отрицательные результаты. </w:t>
      </w:r>
    </w:p>
    <w:p>
      <w:pPr>
        <w:spacing w:line="276" w:lineRule="auto"/>
        <w:ind w:firstLine="709"/>
      </w:pPr>
      <w:r>
        <w:rPr>
          <w:color w:val="000000"/>
        </w:rP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pPr>
        <w:spacing w:line="276" w:lineRule="auto"/>
        <w:ind w:firstLine="709"/>
      </w:pPr>
      <w:r>
        <w:rPr>
          <w:color w:val="000000"/>
        </w:rPr>
        <w:t xml:space="preserve">Дополнительно на территории автономного округа выстроена система мероприятий межведомственного вза</w:t>
      </w:r>
      <w:r>
        <w:rPr>
          <w:color w:val="000000"/>
        </w:rPr>
        <w:t xml:space="preserve">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pPr>
        <w:spacing w:line="276" w:lineRule="auto"/>
        <w:ind w:firstLine="709"/>
      </w:pPr>
      <w:r>
        <w:rPr>
          <w:color w:val="000000"/>
        </w:rPr>
        <w:t xml:space="preserve">Профилактические медицинские осмотры учеников и студентов проводятся в четыре этапа.</w:t>
      </w:r>
    </w:p>
    <w:p>
      <w:pPr>
        <w:spacing w:line="276" w:lineRule="auto"/>
        <w:ind w:firstLine="709"/>
      </w:pPr>
      <w:r>
        <w:rPr>
          <w:color w:val="000000"/>
        </w:rPr>
        <w:t xml:space="preserve">На первом проводится информацио</w:t>
      </w:r>
      <w:r>
        <w:rPr>
          <w:color w:val="000000"/>
        </w:rPr>
        <w:t xml:space="preserve">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w:t>
      </w:r>
      <w:r>
        <w:rPr>
          <w:color w:val="000000"/>
        </w:rPr>
        <w:t xml:space="preserve">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на четвертом этапе разъясняются результаты </w:t>
      </w:r>
      <w:r>
        <w:rPr>
          <w:color w:val="000000"/>
        </w:rPr>
        <w:t xml:space="preserve">профосмотра</w:t>
      </w:r>
      <w:r>
        <w:rPr>
          <w:color w:val="000000"/>
        </w:rPr>
        <w:t xml:space="preserve">.</w:t>
      </w:r>
    </w:p>
    <w:p>
      <w:pPr>
        <w:spacing w:line="276" w:lineRule="auto"/>
        <w:ind w:firstLine="709"/>
      </w:pPr>
      <w:r>
        <w:rPr>
          <w:color w:val="000000"/>
        </w:rP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p>
    <w:p>
      <w:pPr>
        <w:spacing w:line="276" w:lineRule="auto"/>
        <w:ind w:firstLine="709"/>
      </w:pPr>
      <w:r>
        <w:rPr>
          <w:color w:val="000000"/>
        </w:rPr>
        <w:t xml:space="preserve">Медицинские осмотры проводятся в рамках программы государственных гарантий бесплатного оказания гражданам медицинской помощи.</w:t>
      </w:r>
    </w:p>
    <w:p>
      <w:pPr>
        <w:spacing w:line="276" w:lineRule="auto"/>
        <w:ind w:firstLine="709"/>
      </w:pPr>
      <w:r>
        <w:rPr>
          <w:color w:val="000000"/>
        </w:rPr>
        <w:t xml:space="preserve">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pPr>
        <w:spacing w:line="276" w:lineRule="auto"/>
        <w:ind w:firstLine="709"/>
      </w:pPr>
      <w:r>
        <w:rPr>
          <w:color w:val="000000"/>
        </w:rP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pPr>
        <w:spacing w:line="276" w:lineRule="auto"/>
        <w:ind w:firstLine="709"/>
      </w:pPr>
      <w:r>
        <w:rPr>
          <w:color w:val="000000"/>
        </w:rPr>
        <w:t xml:space="preserve">В рамках реализации проведе</w:t>
      </w:r>
      <w:r>
        <w:rPr>
          <w:color w:val="000000"/>
        </w:rPr>
        <w:t xml:space="preserve">ния профилактических медицинских осмотров обучающихся образовательных организаций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pPr>
        <w:spacing w:line="276" w:lineRule="auto"/>
        <w:ind w:firstLine="709"/>
      </w:pPr>
      <w:r>
        <w:rPr>
          <w:color w:val="000000"/>
        </w:rPr>
        <w:t xml:space="preserve">Взаимодействие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физической культуры и спорта Ханты-Мансийского автономного округ</w:t>
      </w:r>
      <w:r>
        <w:rPr>
          <w:color w:val="000000"/>
        </w:rPr>
        <w:t xml:space="preserve">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совместного приказа от 11.09.2024 № 10-П-1853/1277/287/09-ОД-184/01-09 «О проведении в 2024/2025</w:t>
      </w:r>
      <w:r>
        <w:rPr>
          <w:color w:val="000000"/>
        </w:rPr>
        <w:t xml:space="preserve">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w:t>
      </w:r>
      <w:r>
        <w:rPr>
          <w:color w:val="000000"/>
        </w:rPr>
        <w:t xml:space="preserve">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 сентября 2023 года № 10-П-2275/1357/329/09-ОД-167/01-09».</w:t>
      </w:r>
    </w:p>
    <w:p>
      <w:pPr>
        <w:spacing w:line="276" w:lineRule="auto"/>
        <w:ind w:firstLine="709"/>
      </w:pPr>
      <w:r>
        <w:rPr>
          <w:color w:val="000000"/>
        </w:rPr>
        <w:t xml:space="preserve">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pPr>
        <w:tabs>
          <w:tab w:val="left" w:pos="1134" w:leader="none"/>
        </w:tabs>
        <w:spacing w:line="276" w:lineRule="auto"/>
        <w:ind w:firstLine="709"/>
      </w:pPr>
      <w:r>
        <w:rPr>
          <w:color w:val="000000"/>
        </w:rPr>
        <w:t xml:space="preserve">Подготовлен совместный 4-хсторонний приказ Департамента о</w:t>
      </w:r>
      <w:r>
        <w:rPr>
          <w:color w:val="000000"/>
        </w:rPr>
        <w:t xml:space="preserve">бразования и науки Ханты-Мансийского автономного округа – Югры, Департамента здравоохранения Ханты-Мансийского автономного округа – Югры, Департамента физической культуры Ханты-Мансийского автономного округа – Югры, Департамента культуры Ханты-Мансийского </w:t>
      </w:r>
      <w:r>
        <w:rPr>
          <w:color w:val="000000"/>
        </w:rPr>
        <w:t xml:space="preserve">автономного округа – Югры от 11.09.2025 № 10-П-1768/1286/19-ПОД-311/09-ОД0220/01-09 «Об организации и проведении социально-психол</w:t>
      </w:r>
      <w:r>
        <w:rPr>
          <w:color w:val="000000"/>
        </w:rPr>
        <w:t xml:space="preserve">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профилактику н</w:t>
      </w:r>
      <w:r>
        <w:rPr>
          <w:color w:val="000000"/>
        </w:rPr>
        <w:t xml:space="preserve">емедицинского (незаконного) потребления обучающимися наркотических средств и психотропных веществ, профилактических медицинских осмотров обучающихся, профилактической работы с обучающимися «группы риска» по итогам единой методики в 2025/2026 учебном году».</w:t>
      </w:r>
    </w:p>
    <w:p>
      <w:pPr>
        <w:tabs>
          <w:tab w:val="left" w:pos="1134" w:leader="none"/>
        </w:tabs>
        <w:spacing w:line="276" w:lineRule="auto"/>
        <w:ind w:firstLine="709"/>
      </w:pPr>
      <w:r>
        <w:rPr>
          <w:color w:val="000000"/>
        </w:rPr>
        <w:t xml:space="preserve">Во всех 5 психоневрологических больницах автономного округа имеются клинико-диагностические лаборатории с возможностью проведения химико</w:t>
      </w:r>
      <w:r>
        <w:rPr>
          <w:color w:val="000000"/>
        </w:rPr>
        <w:t xml:space="preserve">-токсикологических исследований;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химико-токсикологических исследований по зональному принципу.</w:t>
      </w:r>
    </w:p>
    <w:p>
      <w:pPr>
        <w:tabs>
          <w:tab w:val="left" w:pos="1134" w:leader="none"/>
        </w:tabs>
        <w:spacing w:line="276" w:lineRule="auto"/>
        <w:ind w:firstLine="709"/>
      </w:pPr>
      <w:r>
        <w:rPr>
          <w:color w:val="000000"/>
        </w:rPr>
        <w:t xml:space="preserve">В автономном округе на конец 2025 года работают 64 врача – психиатра-нарколога, из них в амбулаторно-поликлинических подразделениях 35 врачей – психиатров-наркологов.</w:t>
      </w:r>
    </w:p>
    <w:p>
      <w:pPr>
        <w:tabs>
          <w:tab w:val="left" w:pos="1134" w:leader="none"/>
        </w:tabs>
        <w:spacing w:line="276" w:lineRule="auto"/>
        <w:ind w:firstLine="709"/>
      </w:pPr>
      <w:r>
        <w:rPr>
          <w:color w:val="000000"/>
        </w:rPr>
        <w:t xml:space="preserve">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 среди несовершеннолетних.</w:t>
      </w:r>
    </w:p>
    <w:p>
      <w:pPr>
        <w:tabs>
          <w:tab w:val="left" w:pos="1134" w:leader="none"/>
        </w:tabs>
        <w:spacing w:line="276" w:lineRule="auto"/>
        <w:ind w:firstLine="709"/>
      </w:pPr>
      <w:r>
        <w:rPr>
          <w:color w:val="000000"/>
        </w:rPr>
        <w:t xml:space="preserve">Таким образом:</w:t>
      </w:r>
    </w:p>
    <w:p>
      <w:pPr>
        <w:numPr>
          <w:numId w:val="4"/>
          <w:ilvl w:val="0"/>
        </w:numPr>
        <w:tabs>
          <w:tab w:val="clear" w:pos="720" w:leader="none"/>
          <w:tab w:val="left" w:pos="1134" w:leader="none"/>
        </w:tabs>
        <w:spacing w:line="276" w:lineRule="auto"/>
        <w:ind w:left="0" w:firstLine="709"/>
      </w:pPr>
      <w:r>
        <w:rPr>
          <w:color w:val="000000"/>
        </w:rPr>
        <w:t xml:space="preserve">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pPr>
        <w:numPr>
          <w:numId w:val="4"/>
          <w:ilvl w:val="0"/>
        </w:numPr>
        <w:tabs>
          <w:tab w:val="clear" w:pos="720" w:leader="none"/>
          <w:tab w:val="left" w:pos="1134" w:leader="none"/>
        </w:tabs>
        <w:spacing w:line="276" w:lineRule="auto"/>
        <w:ind w:left="0" w:firstLine="709"/>
      </w:pPr>
      <w:r>
        <w:rPr>
          <w:color w:val="000000"/>
        </w:rP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pPr>
        <w:numPr>
          <w:numId w:val="4"/>
          <w:ilvl w:val="0"/>
        </w:numPr>
        <w:tabs>
          <w:tab w:val="clear" w:pos="720" w:leader="none"/>
          <w:tab w:val="left" w:pos="1134" w:leader="none"/>
        </w:tabs>
        <w:spacing w:line="276" w:lineRule="auto"/>
        <w:ind w:left="0" w:firstLine="709"/>
      </w:pPr>
      <w:r>
        <w:rPr>
          <w:color w:val="000000"/>
        </w:rPr>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w:t>
      </w:r>
      <w:r>
        <w:rPr>
          <w:color w:val="000000"/>
        </w:rPr>
        <w:t xml:space="preserve">психоактивными</w:t>
      </w:r>
      <w:r>
        <w:rPr>
          <w:color w:val="000000"/>
        </w:rPr>
        <w:t xml:space="preserve"> веществами, работе с группами риска, внедрению методов профилактического медицинского вмешательства.</w:t>
      </w:r>
    </w:p>
    <w:p>
      <w:pPr>
        <w:tabs>
          <w:tab w:val="left" w:pos="1134" w:leader="none"/>
        </w:tabs>
        <w:spacing w:line="276" w:lineRule="auto"/>
        <w:ind w:firstLine="709"/>
        <w:rPr>
          <w:highlight w:val="yellow"/>
        </w:rPr>
      </w:pPr>
      <w:r>
        <w:rPr>
          <w:highlight w:val="yellow"/>
        </w:rPr>
      </w:r>
      <w:r>
        <w:rPr>
          <w:highlight w:val="yellow"/>
        </w:rPr>
      </w:r>
    </w:p>
    <w:p>
      <w:pPr>
        <w:tabs>
          <w:tab w:val="left" w:pos="1134" w:leader="none"/>
        </w:tabs>
        <w:spacing w:line="276" w:lineRule="auto"/>
        <w:ind w:firstLine="709"/>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p>
    <w:p>
      <w:pPr>
        <w:spacing w:line="276" w:lineRule="auto"/>
        <w:ind w:firstLine="709"/>
        <w:outlineLvl w:val="1"/>
        <w:rPr>
          <w:b/>
        </w:rPr>
      </w:pPr>
      <w:r>
        <w:rPr>
          <w:b/>
        </w:rPr>
        <w:t xml:space="preserve">5. Анализ, оценка и динамика ситуации в сфере противодействия незаконному обороту наркотиков</w:t>
      </w:r>
      <w:r>
        <w:rPr>
          <w:b/>
        </w:rPr>
      </w:r>
    </w:p>
    <w:p>
      <w:pPr>
        <w:spacing w:line="276" w:lineRule="auto"/>
        <w:ind w:firstLine="709"/>
        <w:rPr>
          <w:lang w:eastAsia="ar-SA"/>
        </w:rPr>
      </w:pPr>
      <w:r>
        <w:rPr>
          <w:lang w:eastAsia="ar-SA"/>
        </w:rPr>
      </w:r>
      <w:r>
        <w:rPr>
          <w:lang w:eastAsia="ar-SA"/>
        </w:rPr>
      </w:r>
    </w:p>
    <w:p>
      <w:pPr>
        <w:spacing w:line="276" w:lineRule="auto"/>
        <w:ind w:firstLine="709"/>
      </w:pPr>
      <w:r>
        <w:rPr>
          <w:lang w:eastAsia="ar-SA"/>
        </w:rPr>
        <w:t xml:space="preserve">Анализ оперативной обстановки на территории Ханты-Мансийского автономного округа – Югры </w:t>
      </w:r>
      <w:r>
        <w:rPr>
          <w:i/>
          <w:lang w:eastAsia="ar-SA"/>
        </w:rPr>
        <w:t xml:space="preserve">по линии противодействия незаконному обороту</w:t>
      </w:r>
      <w:r>
        <w:rPr>
          <w:lang w:eastAsia="ar-SA"/>
        </w:rPr>
        <w:t xml:space="preserve"> наркотиков по итогам 2025 года свидетельствует о контроле за ситуацией в данной сфере со стороны правоохранительных органов. Но, вместе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pPr>
        <w:spacing w:line="276" w:lineRule="auto"/>
        <w:ind w:firstLine="709"/>
      </w:pPr>
      <w:r>
        <w:t xml:space="preserve">В течение 2025 года существенных</w:t>
      </w:r>
      <w:r>
        <w:t xml:space="preserve"> изменений тактики незаконного сбыта наркотиков, способов сокрытия и маршрутов поставок подконтрольных веществ не произошло. Как и прежде ключевыми факторами, влияющими на развитие наркоситуации в округе, остаются: географическое положение, социально-эконо</w:t>
      </w:r>
      <w:r>
        <w:t xml:space="preserve">мическая и демографическая ситуация, развитая транспортная инфраструктура и миграционные процессы. По-прежнему основную угрозу на территории округа представляет незаконный сбыт преобладающих на черном рынке синтетических наркотиков, бесконтактным способом.</w:t>
      </w:r>
    </w:p>
    <w:p>
      <w:pPr>
        <w:spacing w:line="276" w:lineRule="auto"/>
        <w:ind w:firstLine="709"/>
        <w:rPr>
          <w:rFonts w:eastAsia="Arial"/>
          <w:lang w:bidi="hi-IN"/>
        </w:rPr>
      </w:pPr>
      <w:r>
        <w:t xml:space="preserve">Среди всех изъятых подконтрольных веществ 239 кг 964 грамм (+7,4%, </w:t>
      </w:r>
      <w:r>
        <w:t xml:space="preserve">п.г</w:t>
      </w:r>
      <w:r>
        <w:t xml:space="preserve">. – 223 кг 492 грамма) наибольшую долю составляют синтетические наркотики – 152 кг 346 грамм или 63,5% от общего количества изъятых подконтрольных веществ (</w:t>
      </w:r>
      <w:r>
        <w:t xml:space="preserve">п.г</w:t>
      </w:r>
      <w:r>
        <w:t xml:space="preserve">. – 197 кг 021 грамм или 88,2%). Преобладают </w:t>
      </w:r>
      <w:r>
        <w:rPr>
          <w:rFonts w:eastAsia="Arial"/>
          <w:lang w:bidi="hi-IN"/>
        </w:rPr>
        <w:t xml:space="preserve">синтетические наркотические средства </w:t>
      </w:r>
      <w:r>
        <w:rPr>
          <w:rFonts w:eastAsia="Arial"/>
          <w:lang w:bidi="hi-IN"/>
        </w:rPr>
        <w:t xml:space="preserve">амфетаминовой</w:t>
      </w:r>
      <w:r>
        <w:rPr>
          <w:rFonts w:eastAsia="Arial"/>
          <w:lang w:bidi="hi-IN"/>
        </w:rPr>
        <w:t xml:space="preserve"> группы – 150 кг 655 грамм (-22,8%, </w:t>
      </w:r>
      <w:r>
        <w:rPr>
          <w:rFonts w:eastAsia="Arial"/>
          <w:lang w:bidi="hi-IN"/>
        </w:rPr>
        <w:t xml:space="preserve">п.г</w:t>
      </w:r>
      <w:r>
        <w:rPr>
          <w:rFonts w:eastAsia="Arial"/>
          <w:lang w:bidi="hi-IN"/>
        </w:rPr>
        <w:t xml:space="preserve">. – 195 кг 139 грамма) или 64% от общего количества изъятых подконтрольных веществ.</w:t>
      </w:r>
      <w:r>
        <w:rPr>
          <w:rFonts w:eastAsia="Arial"/>
          <w:lang w:bidi="hi-IN"/>
        </w:rPr>
      </w:r>
    </w:p>
    <w:p>
      <w:pPr>
        <w:spacing w:line="276" w:lineRule="auto"/>
        <w:ind w:firstLine="709"/>
        <w:rPr>
          <w:rFonts w:eastAsia="Arial"/>
          <w:lang w:bidi="hi-IN"/>
        </w:rPr>
      </w:pPr>
      <w:r>
        <w:rPr>
          <w:rFonts w:eastAsia="Arial"/>
          <w:lang w:bidi="hi-IN"/>
        </w:rPr>
        <w:t xml:space="preserve">При этом </w:t>
      </w:r>
      <w:r>
        <w:t xml:space="preserve">доля изъятых наркотиков опийной группы значительно сократилась - на 94,6% (с 606 грамм до 33 грамм) и составила 0,01%, а доля наркотиков </w:t>
      </w:r>
      <w:r>
        <w:t xml:space="preserve">каннабисной</w:t>
      </w:r>
      <w:r>
        <w:t xml:space="preserve"> группы увеличилась более чем в 4 раза (с 20 кг 359 грамм до 82 кг 954 грамм).</w:t>
      </w:r>
      <w:r>
        <w:rPr>
          <w:rFonts w:eastAsia="Arial"/>
          <w:lang w:bidi="hi-IN"/>
        </w:rPr>
      </w:r>
    </w:p>
    <w:p>
      <w:pPr>
        <w:spacing w:line="276" w:lineRule="auto"/>
        <w:ind w:firstLine="709"/>
        <w:rPr>
          <w:rFonts w:eastAsia="Arial"/>
          <w:lang w:bidi="hi-IN"/>
        </w:rPr>
      </w:pPr>
      <w:r>
        <w:rPr>
          <w:rFonts w:eastAsia="Arial"/>
          <w:lang w:bidi="hi-IN"/>
        </w:rPr>
        <w:t xml:space="preserve">Имеются факты изъятия из незаконного оборота героина 30 грамм (- в 13,8 раза, </w:t>
      </w:r>
      <w:r>
        <w:rPr>
          <w:rFonts w:eastAsia="Arial"/>
          <w:lang w:bidi="hi-IN"/>
        </w:rPr>
        <w:t xml:space="preserve">п.г</w:t>
      </w:r>
      <w:r>
        <w:rPr>
          <w:rFonts w:eastAsia="Arial"/>
          <w:lang w:bidi="hi-IN"/>
        </w:rPr>
        <w:t xml:space="preserve">. – 413 грамм), </w:t>
      </w:r>
      <w:r>
        <w:rPr>
          <w:rFonts w:eastAsia="Arial"/>
          <w:lang w:bidi="hi-IN"/>
        </w:rPr>
        <w:t xml:space="preserve">метадона</w:t>
      </w:r>
      <w:r>
        <w:rPr>
          <w:rFonts w:eastAsia="Arial"/>
          <w:lang w:bidi="hi-IN"/>
        </w:rPr>
        <w:t xml:space="preserve"> 558 грамм (-62,3%, </w:t>
      </w:r>
      <w:r>
        <w:rPr>
          <w:rFonts w:eastAsia="Arial"/>
          <w:lang w:bidi="hi-IN"/>
        </w:rPr>
        <w:t xml:space="preserve">п.г</w:t>
      </w:r>
      <w:r>
        <w:rPr>
          <w:rFonts w:eastAsia="Arial"/>
          <w:lang w:bidi="hi-IN"/>
        </w:rPr>
        <w:t xml:space="preserve">. – 1482 грамма). </w:t>
      </w:r>
      <w:r>
        <w:t xml:space="preserve">Также изъято 72 грамма психотропных веществ (+30,9%, </w:t>
      </w:r>
      <w:r>
        <w:t xml:space="preserve">п.г</w:t>
      </w:r>
      <w:r>
        <w:t xml:space="preserve">. – 55 грамм), 4 кг 562 грамма сильнодействующих веществ (-15,4%, </w:t>
      </w:r>
      <w:r>
        <w:t xml:space="preserve">п.г</w:t>
      </w:r>
      <w:r>
        <w:t xml:space="preserve">. – 5 кг 392 грамма) и </w:t>
      </w:r>
      <w:r>
        <w:rPr>
          <w:highlight w:val="white"/>
        </w:rPr>
        <w:t xml:space="preserve">1 т 417 кг </w:t>
      </w:r>
      <w:r>
        <w:rPr>
          <w:highlight w:val="white"/>
        </w:rPr>
        <w:t xml:space="preserve">прекурсоров</w:t>
      </w:r>
      <w:r>
        <w:rPr>
          <w:highlight w:val="white"/>
        </w:rPr>
        <w:t xml:space="preserve"> наркотических средств </w:t>
      </w:r>
      <w:r>
        <w:rPr>
          <w:rFonts w:eastAsia="Arial"/>
          <w:highlight w:val="white"/>
          <w:lang w:bidi="hi-IN"/>
        </w:rPr>
        <w:t xml:space="preserve">(+ в 283,4 раза,</w:t>
      </w:r>
      <w:r>
        <w:rPr>
          <w:rFonts w:eastAsia="Arial"/>
          <w:lang w:bidi="hi-IN"/>
        </w:rPr>
        <w:t xml:space="preserve"> </w:t>
      </w:r>
      <w:r>
        <w:rPr>
          <w:rFonts w:eastAsia="Arial"/>
          <w:lang w:bidi="hi-IN"/>
        </w:rPr>
        <w:t xml:space="preserve">п.г</w:t>
      </w:r>
      <w:r>
        <w:rPr>
          <w:rFonts w:eastAsia="Arial"/>
          <w:lang w:bidi="hi-IN"/>
        </w:rPr>
        <w:t xml:space="preserve">. – 5 кг)</w:t>
      </w:r>
      <w:r>
        <w:t xml:space="preserve">.</w:t>
      </w:r>
      <w:r>
        <w:rPr>
          <w:rFonts w:eastAsia="Arial"/>
          <w:lang w:bidi="hi-IN"/>
        </w:rPr>
      </w:r>
    </w:p>
    <w:p>
      <w:pPr>
        <w:spacing w:line="276" w:lineRule="auto"/>
        <w:ind w:firstLine="709"/>
        <w:rPr>
          <w:rFonts w:eastAsia="Arial"/>
          <w:lang w:bidi="hi-IN"/>
        </w:rPr>
      </w:pPr>
      <w:r>
        <w:rPr>
          <w:rFonts w:eastAsia="Arial"/>
          <w:lang w:bidi="hi-IN"/>
        </w:rPr>
        <w:t xml:space="preserve">Вместе с тем, необходимо отметить, что из общего объема учтенных статистикой </w:t>
      </w:r>
      <w:r>
        <w:rPr>
          <w:rFonts w:eastAsia="Arial"/>
          <w:lang w:bidi="hi-IN"/>
        </w:rPr>
        <w:t xml:space="preserve">прекурсоров</w:t>
      </w:r>
      <w:r>
        <w:rPr>
          <w:rFonts w:eastAsia="Arial"/>
          <w:lang w:bidi="hi-IN"/>
        </w:rPr>
        <w:t xml:space="preserve">, на территории автономного округа изъят 1,315 кг. </w:t>
      </w:r>
      <w:r>
        <w:rPr>
          <w:rFonts w:eastAsia="Arial"/>
          <w:lang w:bidi="hi-IN"/>
        </w:rPr>
        <w:t xml:space="preserve">Остальной объем </w:t>
      </w:r>
      <w:r>
        <w:rPr>
          <w:rFonts w:eastAsia="Arial"/>
          <w:lang w:bidi="hi-IN"/>
        </w:rPr>
        <w:t xml:space="preserve">прекурсоров</w:t>
      </w:r>
      <w:r>
        <w:rPr>
          <w:rFonts w:eastAsia="Arial"/>
          <w:lang w:bidi="hi-IN"/>
        </w:rPr>
        <w:t xml:space="preserve"> изъят на территории других субъектов Российской Федерации по возбужденным в автономном округе уголовным делам.  </w:t>
      </w:r>
      <w:r>
        <w:rPr>
          <w:rFonts w:eastAsia="Arial"/>
          <w:lang w:bidi="hi-IN"/>
        </w:rPr>
      </w:r>
    </w:p>
    <w:p>
      <w:pPr>
        <w:spacing w:line="276" w:lineRule="auto"/>
        <w:ind w:firstLine="709"/>
        <w:rPr>
          <w:i/>
          <w:sz w:val="24"/>
          <w:szCs w:val="24"/>
        </w:rPr>
      </w:pPr>
      <w:r>
        <w:rPr>
          <w:i/>
          <w:sz w:val="24"/>
          <w:szCs w:val="24"/>
        </w:rPr>
        <w:t xml:space="preserve">Справочно</w:t>
      </w:r>
      <w:r>
        <w:rPr>
          <w:i/>
          <w:sz w:val="24"/>
          <w:szCs w:val="24"/>
        </w:rPr>
        <w:t xml:space="preserve">: Наибольшую распространенность на территории округа имеют следующие наркотики:</w:t>
      </w:r>
      <w:r>
        <w:rPr>
          <w:i/>
          <w:sz w:val="24"/>
          <w:szCs w:val="24"/>
        </w:rPr>
      </w:r>
    </w:p>
    <w:p>
      <w:pPr>
        <w:spacing w:line="276" w:lineRule="auto"/>
        <w:ind w:firstLine="709"/>
        <w:rPr>
          <w:i/>
          <w:sz w:val="24"/>
          <w:szCs w:val="24"/>
        </w:rPr>
      </w:pPr>
      <w:r>
        <w:rPr>
          <w:i/>
          <w:sz w:val="24"/>
          <w:szCs w:val="24"/>
        </w:rPr>
        <w:t xml:space="preserve">- </w:t>
      </w:r>
      <w:r>
        <w:rPr>
          <w:i/>
          <w:sz w:val="24"/>
          <w:szCs w:val="24"/>
        </w:rPr>
        <w:t xml:space="preserve">амфетаминового</w:t>
      </w:r>
      <w:r>
        <w:rPr>
          <w:i/>
          <w:sz w:val="24"/>
          <w:szCs w:val="24"/>
        </w:rPr>
        <w:t xml:space="preserve"> ряда: аналоги N-</w:t>
      </w:r>
      <w:r>
        <w:rPr>
          <w:i/>
          <w:sz w:val="24"/>
          <w:szCs w:val="24"/>
        </w:rPr>
        <w:t xml:space="preserve">метилэфедрона</w:t>
      </w:r>
      <w:r>
        <w:rPr>
          <w:i/>
          <w:sz w:val="24"/>
          <w:szCs w:val="24"/>
        </w:rPr>
        <w:t xml:space="preserve"> (α-PVP), </w:t>
      </w:r>
      <w:r>
        <w:rPr>
          <w:i/>
          <w:sz w:val="24"/>
          <w:szCs w:val="24"/>
        </w:rPr>
        <w:t xml:space="preserve">мефедрон</w:t>
      </w:r>
      <w:r>
        <w:rPr>
          <w:i/>
          <w:sz w:val="24"/>
          <w:szCs w:val="24"/>
        </w:rPr>
        <w:t xml:space="preserve">, реже MDMA (1601 изъятие); </w:t>
      </w:r>
      <w:r>
        <w:rPr>
          <w:i/>
          <w:sz w:val="24"/>
          <w:szCs w:val="24"/>
        </w:rPr>
      </w:r>
    </w:p>
    <w:p>
      <w:pPr>
        <w:spacing w:line="276" w:lineRule="auto"/>
        <w:ind w:firstLine="709"/>
        <w:rPr>
          <w:i/>
          <w:sz w:val="24"/>
          <w:szCs w:val="24"/>
        </w:rPr>
      </w:pPr>
      <w:r>
        <w:rPr>
          <w:i/>
          <w:sz w:val="24"/>
          <w:szCs w:val="24"/>
        </w:rPr>
        <w:t xml:space="preserve">- </w:t>
      </w:r>
      <w:r>
        <w:rPr>
          <w:i/>
          <w:sz w:val="24"/>
          <w:szCs w:val="24"/>
        </w:rPr>
        <w:t xml:space="preserve">каннабисного</w:t>
      </w:r>
      <w:r>
        <w:rPr>
          <w:i/>
          <w:sz w:val="24"/>
          <w:szCs w:val="24"/>
        </w:rPr>
        <w:t xml:space="preserve"> ряда: марихуана, гашиш (209 изъятий);</w:t>
      </w:r>
      <w:r>
        <w:rPr>
          <w:i/>
          <w:sz w:val="24"/>
          <w:szCs w:val="24"/>
        </w:rPr>
      </w:r>
    </w:p>
    <w:p>
      <w:pPr>
        <w:spacing w:line="276" w:lineRule="auto"/>
        <w:ind w:firstLine="709"/>
        <w:rPr>
          <w:i/>
          <w:sz w:val="24"/>
          <w:szCs w:val="24"/>
        </w:rPr>
      </w:pPr>
      <w:r>
        <w:rPr>
          <w:i/>
          <w:sz w:val="24"/>
          <w:szCs w:val="24"/>
        </w:rPr>
        <w:t xml:space="preserve">- </w:t>
      </w:r>
      <w:r>
        <w:rPr>
          <w:i/>
          <w:sz w:val="24"/>
          <w:szCs w:val="24"/>
        </w:rPr>
        <w:t xml:space="preserve">метадон</w:t>
      </w:r>
      <w:r>
        <w:rPr>
          <w:i/>
          <w:sz w:val="24"/>
          <w:szCs w:val="24"/>
        </w:rPr>
        <w:t xml:space="preserve"> (79 изъятий);</w:t>
      </w:r>
      <w:r>
        <w:rPr>
          <w:i/>
          <w:sz w:val="24"/>
          <w:szCs w:val="24"/>
        </w:rPr>
      </w:r>
    </w:p>
    <w:p>
      <w:pPr>
        <w:spacing w:line="276" w:lineRule="auto"/>
        <w:ind w:firstLine="709"/>
        <w:rPr>
          <w:i/>
          <w:sz w:val="24"/>
          <w:szCs w:val="24"/>
        </w:rPr>
      </w:pPr>
      <w:r>
        <w:rPr>
          <w:i/>
          <w:sz w:val="24"/>
          <w:szCs w:val="24"/>
        </w:rPr>
        <w:t xml:space="preserve">- опийной группы: героин, опий, </w:t>
      </w:r>
      <w:r>
        <w:rPr>
          <w:i/>
          <w:sz w:val="24"/>
          <w:szCs w:val="24"/>
        </w:rPr>
        <w:t xml:space="preserve">дезоморфин</w:t>
      </w:r>
      <w:r>
        <w:rPr>
          <w:i/>
          <w:sz w:val="24"/>
          <w:szCs w:val="24"/>
        </w:rPr>
        <w:t xml:space="preserve"> (19 изъятий); </w:t>
      </w:r>
      <w:r>
        <w:rPr>
          <w:i/>
          <w:sz w:val="24"/>
          <w:szCs w:val="24"/>
        </w:rPr>
      </w:r>
    </w:p>
    <w:p>
      <w:pPr>
        <w:spacing w:line="276" w:lineRule="auto"/>
        <w:ind w:firstLine="709"/>
        <w:rPr>
          <w:i/>
          <w:sz w:val="24"/>
          <w:szCs w:val="24"/>
        </w:rPr>
      </w:pPr>
      <w:r>
        <w:rPr>
          <w:i/>
          <w:sz w:val="24"/>
          <w:szCs w:val="24"/>
        </w:rPr>
        <w:t xml:space="preserve">- синтетические аналоги ТГК (13 изъятий);</w:t>
      </w:r>
      <w:r>
        <w:rPr>
          <w:i/>
          <w:sz w:val="24"/>
          <w:szCs w:val="24"/>
        </w:rPr>
      </w:r>
    </w:p>
    <w:p>
      <w:pPr>
        <w:spacing w:line="276" w:lineRule="auto"/>
        <w:ind w:firstLine="709"/>
        <w:rPr>
          <w:i/>
          <w:sz w:val="24"/>
          <w:szCs w:val="24"/>
        </w:rPr>
      </w:pPr>
      <w:r>
        <w:rPr>
          <w:i/>
          <w:sz w:val="24"/>
          <w:szCs w:val="24"/>
        </w:rPr>
        <w:t xml:space="preserve">Помимо указанных наркотиков имеются факты незаконного оборота психотропных веществ (23 изъятия). Также в незаконном обороте находятся сильнодействующие вещества: </w:t>
      </w:r>
      <w:r>
        <w:rPr>
          <w:i/>
          <w:sz w:val="24"/>
          <w:szCs w:val="24"/>
        </w:rPr>
        <w:t xml:space="preserve">прегабалин</w:t>
      </w:r>
      <w:r>
        <w:rPr>
          <w:i/>
          <w:sz w:val="24"/>
          <w:szCs w:val="24"/>
        </w:rPr>
        <w:t xml:space="preserve">, </w:t>
      </w:r>
      <w:r>
        <w:rPr>
          <w:i/>
          <w:sz w:val="24"/>
          <w:szCs w:val="24"/>
        </w:rPr>
        <w:t xml:space="preserve">сибутрамин</w:t>
      </w:r>
      <w:r>
        <w:rPr>
          <w:i/>
          <w:sz w:val="24"/>
          <w:szCs w:val="24"/>
        </w:rPr>
        <w:t xml:space="preserve"> и др. (108 изъятий) и 4 изъятия </w:t>
      </w:r>
      <w:r>
        <w:rPr>
          <w:i/>
          <w:sz w:val="24"/>
          <w:szCs w:val="24"/>
        </w:rPr>
        <w:t xml:space="preserve">прекурсоров</w:t>
      </w:r>
      <w:r>
        <w:rPr>
          <w:i/>
          <w:sz w:val="24"/>
          <w:szCs w:val="24"/>
        </w:rPr>
        <w:t xml:space="preserve"> наркотических средств.</w:t>
      </w:r>
      <w:r>
        <w:rPr>
          <w:i/>
          <w:sz w:val="24"/>
          <w:szCs w:val="24"/>
        </w:rPr>
      </w:r>
    </w:p>
    <w:p>
      <w:pPr>
        <w:spacing w:line="276" w:lineRule="auto"/>
        <w:ind w:firstLine="709"/>
      </w:pPr>
      <w:r>
        <w:t xml:space="preserve">Значительное количество изымаемых на территории автономного округа наркотиков </w:t>
      </w:r>
      <w:r>
        <w:t xml:space="preserve">каннабисной</w:t>
      </w:r>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pPr>
        <w:spacing w:line="276" w:lineRule="auto"/>
        <w:ind w:firstLine="709"/>
      </w:pPr>
      <w:r>
        <w:t xml:space="preserve">Ханты-Мансийский автономный ок</w:t>
      </w:r>
      <w:r>
        <w:t xml:space="preserve">руг – Югра отнесен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r>
        <w:t xml:space="preserve">раннеосенние</w:t>
      </w:r>
      <w:r>
        <w:t xml:space="preserve"> заморозки), которые являются естественной помехой свободному массовому произрастанию дикорастущих </w:t>
      </w:r>
      <w:r>
        <w:t xml:space="preserve">наркосодержащих</w:t>
      </w:r>
      <w:r>
        <w:t xml:space="preserve"> растений и формированию их очагов, а также незаконному культивированию </w:t>
      </w:r>
      <w:r>
        <w:t xml:space="preserve">наркосодержащих</w:t>
      </w:r>
      <w:r>
        <w:t xml:space="preserve"> растений в условиях  открытого грунта. В этой связи, выявление очагов дикого произрастания </w:t>
      </w:r>
      <w:r>
        <w:t xml:space="preserve">наркосодержащих</w:t>
      </w:r>
      <w:r>
        <w:t xml:space="preserve"> растений носит эпизодический характер. </w:t>
      </w:r>
    </w:p>
    <w:p>
      <w:pPr>
        <w:spacing w:line="276" w:lineRule="auto"/>
        <w:ind w:firstLine="709"/>
      </w:pPr>
      <w:r>
        <w:t xml:space="preserve">В 2025 году очаги дикого произрастания </w:t>
      </w:r>
      <w:r>
        <w:t xml:space="preserve">наркосодержащих</w:t>
      </w:r>
      <w:r>
        <w:t xml:space="preserve"> растений не выявлялись (</w:t>
      </w:r>
      <w:r>
        <w:t xml:space="preserve">п.г</w:t>
      </w:r>
      <w:r>
        <w:t xml:space="preserve">. – 0). </w:t>
      </w:r>
    </w:p>
    <w:p>
      <w:pPr>
        <w:spacing w:line="276" w:lineRule="auto"/>
        <w:ind w:firstLine="709"/>
      </w:pPr>
      <w:r>
        <w:t xml:space="preserve">Факты незаконного культивирования </w:t>
      </w:r>
      <w:r>
        <w:t xml:space="preserve">наркосодержащих</w:t>
      </w:r>
      <w:r>
        <w:t xml:space="preserve">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w:t>
      </w:r>
      <w:r>
        <w:t xml:space="preserve">кусственно созданными для этих целей условиями (домах, гаражах, банях), также носят эпизодический характер, но при этом остаются одним из факторов, оказывающих незначительное, но при этом негативное влияние на развитие наркоситуации в регионе. В 2025 году </w:t>
      </w:r>
      <w:r>
        <w:t xml:space="preserve">преступления</w:t>
      </w:r>
      <w:r>
        <w:t xml:space="preserve"> связанные с </w:t>
      </w:r>
      <w:r>
        <w:t xml:space="preserve">культивированием </w:t>
      </w:r>
      <w:r>
        <w:t xml:space="preserve">наркосодержащих</w:t>
      </w:r>
      <w:r>
        <w:t xml:space="preserve"> растений, предусмотренные ст. 231 УК РФ не выявлялись (-100%; 4), при этом пресечено 7 административных правонарушения, предусмотренных ст. 10.5.1 КоАП РФ (</w:t>
      </w:r>
      <w:r>
        <w:t xml:space="preserve">п.г</w:t>
      </w:r>
      <w:r>
        <w:t xml:space="preserve">. – 3), уничтожено 6 незаконно выращенных посевов </w:t>
      </w:r>
      <w:r>
        <w:t xml:space="preserve">наркосодержащих</w:t>
      </w:r>
      <w:r>
        <w:t xml:space="preserve"> растений (</w:t>
      </w:r>
      <w:r>
        <w:t xml:space="preserve">п.г</w:t>
      </w:r>
      <w:r>
        <w:t xml:space="preserve">. – 5), общей площадью 5 м</w:t>
      </w:r>
      <w:r>
        <w:rPr>
          <w:vertAlign w:val="superscript"/>
        </w:rPr>
        <w:t xml:space="preserve">2</w:t>
      </w:r>
      <w:r>
        <w:t xml:space="preserve"> (</w:t>
      </w:r>
      <w:r>
        <w:t xml:space="preserve">п.г</w:t>
      </w:r>
      <w:r>
        <w:t xml:space="preserve">. – 9 м</w:t>
      </w:r>
      <w:r>
        <w:rPr>
          <w:vertAlign w:val="superscript"/>
        </w:rPr>
        <w:t xml:space="preserve">2</w:t>
      </w:r>
      <w:r>
        <w:t xml:space="preserve">).</w:t>
      </w:r>
    </w:p>
    <w:p>
      <w:pPr>
        <w:spacing w:line="276" w:lineRule="auto"/>
        <w:ind w:firstLine="709"/>
      </w:pPr>
      <w:r>
        <w:t xml:space="preserve">Новые виды психоактивных веществ, не включенные в Перечень наркотических средств, психотропных веществ и их </w:t>
      </w:r>
      <w:r>
        <w:t xml:space="preserve">прекурсоров</w:t>
      </w:r>
      <w:r>
        <w:t xml:space="preserve">, подлежащих контролю в РФ, из незаконного оборота не изымались.</w:t>
      </w:r>
    </w:p>
    <w:p>
      <w:pPr>
        <w:spacing w:line="276" w:lineRule="auto"/>
        <w:ind w:firstLine="709"/>
      </w:pPr>
      <w:r>
        <w:t xml:space="preserve">Средняя стоимость наркот</w:t>
      </w:r>
      <w:r>
        <w:t xml:space="preserve">ических веществ в городах автономного округа значительно разнится (см. табл. 5)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pPr>
        <w:spacing w:line="276" w:lineRule="auto"/>
        <w:ind w:firstLine="709"/>
        <w:jc w:val="right"/>
      </w:pPr>
      <w:r>
        <w:rPr>
          <w:bCs/>
        </w:rPr>
        <w:t xml:space="preserve">Таблица 5</w:t>
      </w:r>
    </w:p>
    <w:p>
      <w:pPr>
        <w:pStyle w:val="1660"/>
        <w:numPr>
          <w:numId w:val="2"/>
          <w:ilvl w:val="1"/>
        </w:numPr>
        <w:ind w:left="0" w:right="0" w:firstLine="0"/>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r>
        <w:rPr>
          <w:rFonts w:ascii="Times New Roman" w:hAnsi="Times New Roman" w:cs="Times New Roman"/>
          <w:bCs/>
          <w:sz w:val="28"/>
          <w:szCs w:val="28"/>
        </w:rPr>
      </w: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9"/>
        <w:gridCol w:w="2835"/>
        <w:gridCol w:w="2552"/>
      </w:tblGrid>
      <w:tr>
        <w:trPr/>
        <w:tc>
          <w:tcPr>
            <w:tcW w:w="3969" w:type="dxa"/>
            <w:noWrap w:val="false"/>
            <w:textDirection w:val="lrTb"/>
            <w:vAlign w:val="center"/>
          </w:tcPr>
          <w:p>
            <w:pPr>
              <w:spacing w:line="240" w:lineRule="auto"/>
              <w:ind w:firstLine="0"/>
              <w:jc w:val="center"/>
              <w:rPr>
                <w:b/>
                <w:sz w:val="24"/>
                <w:szCs w:val="24"/>
              </w:rPr>
            </w:pPr>
            <w:r>
              <w:rPr>
                <w:b/>
                <w:sz w:val="24"/>
                <w:szCs w:val="24"/>
              </w:rPr>
              <w:t xml:space="preserve">Вид наркотического средства</w:t>
            </w:r>
            <w:r>
              <w:rPr>
                <w:b/>
                <w:sz w:val="24"/>
                <w:szCs w:val="24"/>
              </w:rPr>
            </w:r>
          </w:p>
        </w:tc>
        <w:tc>
          <w:tcPr>
            <w:tcW w:w="2835" w:type="dxa"/>
            <w:noWrap w:val="false"/>
            <w:textDirection w:val="lrTb"/>
            <w:vAlign w:val="center"/>
          </w:tcPr>
          <w:p>
            <w:pPr>
              <w:spacing w:line="240" w:lineRule="auto"/>
              <w:ind w:firstLine="0"/>
              <w:jc w:val="center"/>
              <w:rPr>
                <w:b/>
                <w:sz w:val="24"/>
                <w:szCs w:val="24"/>
              </w:rPr>
            </w:pPr>
            <w:r>
              <w:rPr>
                <w:b/>
                <w:sz w:val="24"/>
                <w:szCs w:val="24"/>
              </w:rPr>
              <w:t xml:space="preserve">Цена</w:t>
            </w:r>
            <w:r>
              <w:rPr>
                <w:b/>
                <w:sz w:val="24"/>
                <w:szCs w:val="24"/>
              </w:rPr>
            </w:r>
          </w:p>
          <w:p>
            <w:pPr>
              <w:spacing w:line="240" w:lineRule="auto"/>
              <w:ind w:firstLine="0"/>
              <w:jc w:val="center"/>
              <w:rPr>
                <w:b/>
                <w:sz w:val="24"/>
                <w:szCs w:val="24"/>
              </w:rPr>
            </w:pPr>
            <w:r>
              <w:rPr>
                <w:b/>
                <w:sz w:val="24"/>
                <w:szCs w:val="24"/>
              </w:rPr>
              <w:t xml:space="preserve">за 1 грамм (руб.)</w:t>
            </w:r>
            <w:r>
              <w:rPr>
                <w:b/>
                <w:sz w:val="24"/>
                <w:szCs w:val="24"/>
              </w:rPr>
            </w:r>
          </w:p>
        </w:tc>
        <w:tc>
          <w:tcPr>
            <w:tcW w:w="2552" w:type="dxa"/>
            <w:noWrap w:val="false"/>
            <w:textDirection w:val="lrTb"/>
            <w:vAlign w:val="center"/>
          </w:tcPr>
          <w:p>
            <w:pPr>
              <w:spacing w:line="240" w:lineRule="auto"/>
              <w:ind w:firstLine="0"/>
              <w:jc w:val="center"/>
              <w:rPr>
                <w:b/>
                <w:sz w:val="24"/>
                <w:szCs w:val="24"/>
              </w:rPr>
            </w:pPr>
            <w:r>
              <w:rPr>
                <w:b/>
                <w:sz w:val="24"/>
                <w:szCs w:val="24"/>
              </w:rPr>
              <w:t xml:space="preserve">Цена </w:t>
            </w:r>
            <w:r>
              <w:rPr>
                <w:b/>
                <w:sz w:val="24"/>
                <w:szCs w:val="24"/>
              </w:rPr>
            </w:r>
          </w:p>
          <w:p>
            <w:pPr>
              <w:spacing w:line="240" w:lineRule="auto"/>
              <w:ind w:firstLine="0"/>
              <w:jc w:val="center"/>
              <w:rPr>
                <w:b/>
                <w:sz w:val="24"/>
                <w:szCs w:val="24"/>
              </w:rPr>
            </w:pPr>
            <w:r>
              <w:rPr>
                <w:b/>
                <w:sz w:val="24"/>
                <w:szCs w:val="24"/>
              </w:rPr>
              <w:t xml:space="preserve">за 100 грамм (руб.)</w:t>
            </w:r>
            <w:r>
              <w:rPr>
                <w:b/>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Каннабис</w:t>
            </w:r>
            <w:r>
              <w:rPr>
                <w:sz w:val="24"/>
                <w:szCs w:val="24"/>
              </w:rPr>
              <w:t xml:space="preserve"> (марихуана)</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3600-4990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100 000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Гашиш</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4990-6290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150 000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Гашишное масло</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12000-12990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210000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Ацетилированный</w:t>
            </w:r>
            <w:r>
              <w:rPr>
                <w:sz w:val="24"/>
                <w:szCs w:val="24"/>
              </w:rPr>
              <w:t xml:space="preserve"> опий</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н/у</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н/у</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Героин</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7000-9000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280000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Кокаин</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12500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665000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Карфентанил</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н/у</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н/у</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N-</w:t>
            </w:r>
            <w:r>
              <w:rPr>
                <w:sz w:val="24"/>
                <w:szCs w:val="24"/>
              </w:rPr>
              <w:t xml:space="preserve">метилэфедрон</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5300-5900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140 000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Мефедрон</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4000-7100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90 000-150 000</w:t>
            </w:r>
            <w:r>
              <w:rPr>
                <w:sz w:val="24"/>
                <w:szCs w:val="24"/>
              </w:rPr>
            </w:r>
          </w:p>
        </w:tc>
      </w:tr>
      <w:tr>
        <w:trPr/>
        <w:tc>
          <w:tcPr>
            <w:tcW w:w="3969" w:type="dxa"/>
            <w:noWrap w:val="false"/>
            <w:textDirection w:val="lrTb"/>
          </w:tcPr>
          <w:p>
            <w:pPr>
              <w:spacing w:line="240" w:lineRule="auto"/>
              <w:ind w:firstLine="0"/>
              <w:jc w:val="left"/>
              <w:rPr>
                <w:sz w:val="24"/>
                <w:szCs w:val="24"/>
              </w:rPr>
            </w:pPr>
            <w:r>
              <w:rPr>
                <w:sz w:val="24"/>
                <w:szCs w:val="24"/>
              </w:rPr>
              <w:t xml:space="preserve">Метадон</w:t>
            </w:r>
            <w:r>
              <w:rPr>
                <w:sz w:val="24"/>
                <w:szCs w:val="24"/>
              </w:rPr>
            </w:r>
          </w:p>
        </w:tc>
        <w:tc>
          <w:tcPr>
            <w:tcW w:w="2835" w:type="dxa"/>
            <w:noWrap w:val="false"/>
            <w:textDirection w:val="lrTb"/>
          </w:tcPr>
          <w:p>
            <w:pPr>
              <w:spacing w:line="240" w:lineRule="auto"/>
              <w:ind w:firstLine="0"/>
              <w:jc w:val="center"/>
              <w:rPr>
                <w:sz w:val="24"/>
                <w:szCs w:val="24"/>
              </w:rPr>
            </w:pPr>
            <w:r>
              <w:rPr>
                <w:sz w:val="24"/>
                <w:szCs w:val="24"/>
              </w:rPr>
              <w:t xml:space="preserve">9000</w:t>
            </w:r>
            <w:r>
              <w:rPr>
                <w:sz w:val="24"/>
                <w:szCs w:val="24"/>
              </w:rPr>
            </w:r>
          </w:p>
        </w:tc>
        <w:tc>
          <w:tcPr>
            <w:tcW w:w="2552" w:type="dxa"/>
            <w:noWrap w:val="false"/>
            <w:textDirection w:val="lrTb"/>
          </w:tcPr>
          <w:p>
            <w:pPr>
              <w:spacing w:line="240" w:lineRule="auto"/>
              <w:ind w:firstLine="0"/>
              <w:jc w:val="center"/>
              <w:rPr>
                <w:sz w:val="24"/>
                <w:szCs w:val="24"/>
              </w:rPr>
            </w:pPr>
            <w:r>
              <w:rPr>
                <w:sz w:val="24"/>
                <w:szCs w:val="24"/>
              </w:rPr>
              <w:t xml:space="preserve">н/у</w:t>
            </w:r>
            <w:r>
              <w:rPr>
                <w:sz w:val="24"/>
                <w:szCs w:val="24"/>
              </w:rPr>
            </w:r>
          </w:p>
        </w:tc>
      </w:tr>
      <w:tr>
        <w:trPr/>
        <w:tc>
          <w:tcPr>
            <w:tcW w:w="3969" w:type="dxa"/>
            <w:noWrap w:val="false"/>
            <w:textDirection w:val="lrTb"/>
          </w:tcPr>
          <w:p>
            <w:pPr>
              <w:spacing w:line="283" w:lineRule="auto"/>
              <w:ind w:firstLine="0"/>
              <w:jc w:val="left"/>
              <w:rPr>
                <w:sz w:val="24"/>
                <w:szCs w:val="24"/>
              </w:rPr>
            </w:pPr>
            <w:r>
              <w:rPr>
                <w:sz w:val="24"/>
                <w:szCs w:val="24"/>
              </w:rPr>
              <w:t xml:space="preserve">Амфетамин</w:t>
            </w:r>
            <w:r>
              <w:rPr>
                <w:sz w:val="24"/>
                <w:szCs w:val="24"/>
              </w:rPr>
            </w:r>
          </w:p>
        </w:tc>
        <w:tc>
          <w:tcPr>
            <w:tcW w:w="2835" w:type="dxa"/>
            <w:noWrap w:val="false"/>
            <w:textDirection w:val="lrTb"/>
          </w:tcPr>
          <w:p>
            <w:pPr>
              <w:spacing w:line="283" w:lineRule="auto"/>
              <w:ind w:firstLine="0"/>
              <w:jc w:val="center"/>
              <w:rPr>
                <w:sz w:val="24"/>
                <w:szCs w:val="24"/>
              </w:rPr>
            </w:pPr>
            <w:r>
              <w:rPr>
                <w:sz w:val="24"/>
                <w:szCs w:val="24"/>
              </w:rPr>
              <w:t xml:space="preserve">5700</w:t>
            </w:r>
            <w:r>
              <w:rPr>
                <w:sz w:val="24"/>
                <w:szCs w:val="24"/>
              </w:rPr>
            </w:r>
          </w:p>
        </w:tc>
        <w:tc>
          <w:tcPr>
            <w:tcW w:w="2552" w:type="dxa"/>
            <w:noWrap w:val="false"/>
            <w:textDirection w:val="lrTb"/>
          </w:tcPr>
          <w:p>
            <w:pPr>
              <w:spacing w:line="283" w:lineRule="auto"/>
              <w:ind w:firstLine="0"/>
              <w:jc w:val="center"/>
              <w:rPr>
                <w:sz w:val="24"/>
                <w:szCs w:val="24"/>
              </w:rPr>
            </w:pPr>
            <w:r>
              <w:rPr>
                <w:sz w:val="24"/>
                <w:szCs w:val="24"/>
              </w:rPr>
              <w:t xml:space="preserve">90 000-100 000</w:t>
            </w:r>
            <w:r>
              <w:rPr>
                <w:sz w:val="24"/>
                <w:szCs w:val="24"/>
              </w:rPr>
            </w:r>
          </w:p>
        </w:tc>
      </w:tr>
    </w:tbl>
    <w:p>
      <w:pPr>
        <w:spacing w:line="283" w:lineRule="auto"/>
        <w:ind w:firstLine="709"/>
        <w:rPr>
          <w:color w:val="ff0000"/>
        </w:rPr>
      </w:pPr>
      <w:r>
        <w:rPr>
          <w:color w:val="ff0000"/>
        </w:rPr>
      </w:r>
      <w:r>
        <w:rPr>
          <w:color w:val="ff0000"/>
        </w:rPr>
      </w:r>
    </w:p>
    <w:p>
      <w:pPr>
        <w:spacing w:line="283" w:lineRule="auto"/>
        <w:ind w:firstLine="709"/>
        <w:rPr>
          <w:lang w:eastAsia="ar-SA"/>
        </w:rPr>
      </w:pPr>
      <w:r>
        <w:rPr>
          <w:lang w:eastAsia="ar-SA"/>
        </w:rPr>
        <w:t xml:space="preserve">На территории Югры по состоянию на 01.01.2026, расположено 244 юридических лица, осуществляющих деятельность, связанную с оборотом наркотических средств, психотропных веществ и их </w:t>
      </w:r>
      <w:r>
        <w:rPr>
          <w:lang w:eastAsia="ar-SA"/>
        </w:rPr>
        <w:t xml:space="preserve">прекурсоров</w:t>
      </w:r>
      <w:r>
        <w:rPr>
          <w:lang w:eastAsia="ar-SA"/>
        </w:rPr>
        <w:t xml:space="preserve">, в том числе: </w:t>
      </w:r>
      <w:r>
        <w:rPr>
          <w:lang w:eastAsia="ar-SA"/>
        </w:rPr>
      </w:r>
    </w:p>
    <w:p>
      <w:pPr>
        <w:spacing w:line="283" w:lineRule="auto"/>
        <w:ind w:firstLine="709"/>
        <w:rPr>
          <w:lang w:eastAsia="ar-SA"/>
        </w:rPr>
      </w:pPr>
      <w:r>
        <w:rPr>
          <w:lang w:eastAsia="ar-SA"/>
        </w:rPr>
        <w:t xml:space="preserve">- 80 юридических лиц, осуществляющих деятельность, связанную с оборотом наркотических средств и психотропных веществ (ЛПУ – 68, аптечные предприятия – 12);</w:t>
      </w:r>
      <w:r>
        <w:rPr>
          <w:lang w:eastAsia="ar-SA"/>
        </w:rPr>
      </w:r>
    </w:p>
    <w:p>
      <w:pPr>
        <w:spacing w:line="283" w:lineRule="auto"/>
        <w:ind w:firstLine="709"/>
        <w:rPr>
          <w:lang w:eastAsia="ar-SA"/>
        </w:rPr>
      </w:pPr>
      <w:r>
        <w:rPr>
          <w:lang w:eastAsia="ar-SA"/>
        </w:rPr>
        <w:t xml:space="preserve">- 164 юридических лица, осуществляющих деятельность, связанную с оборотом </w:t>
      </w:r>
      <w:r>
        <w:rPr>
          <w:lang w:eastAsia="ar-SA"/>
        </w:rPr>
        <w:t xml:space="preserve">прекурсоров</w:t>
      </w:r>
      <w:r>
        <w:rPr>
          <w:lang w:eastAsia="ar-SA"/>
        </w:rPr>
        <w:t xml:space="preserve">, в том числе: таблица II списка IV – 36 и таблица III – 128 юридических лица. </w:t>
      </w:r>
      <w:r>
        <w:rPr>
          <w:lang w:eastAsia="ar-SA"/>
        </w:rPr>
      </w:r>
    </w:p>
    <w:p>
      <w:pPr>
        <w:spacing w:line="283" w:lineRule="auto"/>
        <w:ind w:firstLine="709"/>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w:t>
      </w:r>
      <w:r>
        <w:rPr>
          <w:lang w:eastAsia="ar-SA"/>
        </w:rPr>
        <w:t xml:space="preserve">пгт</w:t>
      </w:r>
      <w:r>
        <w:rPr>
          <w:lang w:eastAsia="ar-SA"/>
        </w:rPr>
        <w:t xml:space="preserve">. Белый Яр, Сургутский район). Производство наркотических средств, психотропных веществ и их </w:t>
      </w:r>
      <w:r>
        <w:rPr>
          <w:lang w:eastAsia="ar-SA"/>
        </w:rPr>
        <w:t xml:space="preserve">прекурсоров</w:t>
      </w:r>
      <w:r>
        <w:rPr>
          <w:lang w:eastAsia="ar-SA"/>
        </w:rPr>
        <w:t xml:space="preserve"> на территории округа отсутствует. В малых количествах </w:t>
      </w:r>
      <w:r>
        <w:rPr>
          <w:lang w:eastAsia="ar-SA"/>
        </w:rPr>
        <w:t xml:space="preserve">прекурсоры</w:t>
      </w:r>
      <w:r>
        <w:rPr>
          <w:lang w:eastAsia="ar-SA"/>
        </w:rPr>
        <w:t xml:space="preserve">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w:t>
      </w:r>
      <w:r>
        <w:rPr>
          <w:lang w:eastAsia="ar-SA"/>
        </w:rPr>
        <w:t xml:space="preserve">прекурсоры</w:t>
      </w:r>
      <w:r>
        <w:rPr>
          <w:lang w:eastAsia="ar-SA"/>
        </w:rPr>
        <w:t xml:space="preserve">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r>
        <w:rPr>
          <w:lang w:eastAsia="ar-SA"/>
        </w:rPr>
      </w:r>
    </w:p>
    <w:p>
      <w:pPr>
        <w:spacing w:line="283" w:lineRule="auto"/>
        <w:ind w:firstLine="709"/>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w:t>
      </w:r>
      <w:r>
        <w:rPr>
          <w:lang w:eastAsia="ar-SA"/>
        </w:rPr>
        <w:t xml:space="preserve">прекурсоров</w:t>
      </w:r>
      <w:r>
        <w:rPr>
          <w:lang w:eastAsia="ar-SA"/>
        </w:rPr>
        <w:t xml:space="preserve"> наркотических средств и психотропных веществ, внесенных в Таблицу I Списка IV Перечня, не зарегистрировано.</w:t>
      </w:r>
      <w:r>
        <w:rPr>
          <w:lang w:eastAsia="ar-SA"/>
        </w:rPr>
      </w:r>
    </w:p>
    <w:p>
      <w:pPr>
        <w:spacing w:line="283" w:lineRule="auto"/>
        <w:ind w:firstLine="709"/>
        <w:rPr>
          <w:lang w:eastAsia="ar-SA"/>
        </w:rPr>
      </w:pPr>
      <w:r>
        <w:rPr>
          <w:lang w:eastAsia="ar-SA"/>
        </w:rPr>
        <w:t xml:space="preserve">Юридические лица, осуществляющие производство </w:t>
      </w:r>
      <w:r>
        <w:rPr>
          <w:lang w:eastAsia="ar-SA"/>
        </w:rPr>
        <w:t xml:space="preserve">прекурсоров</w:t>
      </w:r>
      <w:r>
        <w:rPr>
          <w:lang w:eastAsia="ar-SA"/>
        </w:rPr>
        <w:t xml:space="preserve">,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округа-Югры, отсутствуют.</w:t>
      </w:r>
      <w:r>
        <w:rPr>
          <w:lang w:eastAsia="ar-SA"/>
        </w:rPr>
      </w:r>
    </w:p>
    <w:p>
      <w:pPr>
        <w:spacing w:line="283" w:lineRule="auto"/>
        <w:ind w:firstLine="709"/>
      </w:pPr>
      <w:r>
        <w:t xml:space="preserve">Криминогенная обстановка по линии незаконного оборота наркотиков в Югре за 12 месяцев 2025 года характеризуется ростом количества зарегистрированных </w:t>
      </w:r>
      <w:r>
        <w:t xml:space="preserve">наркопреступлений</w:t>
      </w:r>
      <w:r>
        <w:t xml:space="preserve"> и составляет 2761 (</w:t>
      </w:r>
      <w:r>
        <w:t xml:space="preserve">п.г</w:t>
      </w:r>
      <w:r>
        <w:t xml:space="preserve">. – 2708, +2%), в том числе тяжких и особо тяжких преступлений 2478 (</w:t>
      </w:r>
      <w:r>
        <w:t xml:space="preserve">п.г</w:t>
      </w:r>
      <w:r>
        <w:t xml:space="preserve">. – 2284, +8,5%).</w:t>
      </w:r>
    </w:p>
    <w:p>
      <w:pPr>
        <w:spacing w:line="283" w:lineRule="auto"/>
        <w:ind w:firstLine="709"/>
        <w:rPr>
          <w:i/>
          <w:sz w:val="24"/>
          <w:szCs w:val="24"/>
        </w:rPr>
      </w:pPr>
      <w:r>
        <w:rPr>
          <w:i/>
          <w:sz w:val="24"/>
          <w:szCs w:val="24"/>
        </w:rPr>
        <w:t xml:space="preserve">Справочно</w:t>
      </w:r>
      <w:r>
        <w:rPr>
          <w:i/>
          <w:sz w:val="24"/>
          <w:szCs w:val="24"/>
        </w:rPr>
        <w:t xml:space="preserve">: </w:t>
      </w:r>
      <w:r>
        <w:rPr>
          <w:i/>
          <w:sz w:val="24"/>
          <w:szCs w:val="24"/>
        </w:rPr>
      </w:r>
    </w:p>
    <w:p>
      <w:pPr>
        <w:spacing w:line="283" w:lineRule="auto"/>
        <w:ind w:firstLine="709"/>
        <w:rPr>
          <w:i/>
          <w:sz w:val="24"/>
          <w:szCs w:val="24"/>
        </w:rPr>
      </w:pPr>
      <w:r>
        <w:rPr>
          <w:i/>
          <w:sz w:val="24"/>
          <w:szCs w:val="24"/>
        </w:rPr>
        <w:t xml:space="preserve">По России число зарегистрированных </w:t>
      </w:r>
      <w:r>
        <w:rPr>
          <w:i/>
          <w:sz w:val="24"/>
          <w:szCs w:val="24"/>
        </w:rPr>
        <w:t xml:space="preserve">наркопреступлений</w:t>
      </w:r>
      <w:r>
        <w:rPr>
          <w:i/>
          <w:sz w:val="24"/>
          <w:szCs w:val="24"/>
        </w:rPr>
        <w:t xml:space="preserve"> увеличилось на 8,4%, </w:t>
      </w:r>
      <w:r>
        <w:rPr>
          <w:i/>
          <w:sz w:val="24"/>
          <w:szCs w:val="24"/>
        </w:rPr>
        <w:t xml:space="preserve">УрФО</w:t>
      </w:r>
      <w:r>
        <w:rPr>
          <w:i/>
          <w:sz w:val="24"/>
          <w:szCs w:val="24"/>
        </w:rPr>
        <w:t xml:space="preserve"> – увеличение на 1,3%. </w:t>
      </w:r>
      <w:r>
        <w:rPr>
          <w:i/>
          <w:sz w:val="24"/>
          <w:szCs w:val="24"/>
        </w:rPr>
      </w:r>
    </w:p>
    <w:p>
      <w:pPr>
        <w:spacing w:line="283" w:lineRule="auto"/>
        <w:ind w:firstLine="709"/>
        <w:rPr>
          <w:i/>
          <w:sz w:val="24"/>
          <w:szCs w:val="24"/>
        </w:rPr>
      </w:pPr>
      <w:r>
        <w:rPr>
          <w:i/>
          <w:sz w:val="24"/>
          <w:szCs w:val="24"/>
        </w:rPr>
        <w:t xml:space="preserve">Регистрация </w:t>
      </w:r>
      <w:r>
        <w:rPr>
          <w:i/>
          <w:sz w:val="24"/>
          <w:szCs w:val="24"/>
        </w:rPr>
        <w:t xml:space="preserve">ТиОТ</w:t>
      </w:r>
      <w:r>
        <w:rPr>
          <w:i/>
          <w:sz w:val="24"/>
          <w:szCs w:val="24"/>
        </w:rPr>
        <w:t xml:space="preserve"> преступлений по России увеличилось на 14,7%, по </w:t>
      </w:r>
      <w:r>
        <w:rPr>
          <w:i/>
          <w:sz w:val="24"/>
          <w:szCs w:val="24"/>
        </w:rPr>
        <w:t xml:space="preserve">УрФО</w:t>
      </w:r>
      <w:r>
        <w:rPr>
          <w:i/>
          <w:sz w:val="24"/>
          <w:szCs w:val="24"/>
        </w:rPr>
        <w:t xml:space="preserve"> – увеличение на 7,7%.</w:t>
      </w:r>
      <w:r>
        <w:rPr>
          <w:i/>
          <w:sz w:val="24"/>
          <w:szCs w:val="24"/>
        </w:rPr>
      </w:r>
    </w:p>
    <w:p>
      <w:pPr>
        <w:pBdr>
          <w:bottom w:val="single" w:color="FFFFFF" w:sz="4" w:space="0"/>
        </w:pBdr>
        <w:spacing w:line="283" w:lineRule="auto"/>
        <w:ind w:firstLine="709"/>
      </w:pPr>
      <w:r>
        <w:t xml:space="preserve">Произошел рост количества расследованных и направленных в суд уголовных дел, при этом, количество приостановленных уголовных дел по преступлениям в сфере НОН кратно снизилось, что в свою очередь отразилось на росте раскрываемости </w:t>
      </w:r>
      <w:r>
        <w:t xml:space="preserve">наркопреступлений</w:t>
      </w:r>
      <w:r>
        <w:t xml:space="preserve"> в целом. Окончено предварительное расследование по 1509 преступлениям по линии НОН (+2,7%, </w:t>
      </w:r>
      <w:r>
        <w:t xml:space="preserve">п.г</w:t>
      </w:r>
      <w:r>
        <w:t xml:space="preserve">. – 1470), в том числе категории тяжких и особо тяжких 1260 (+10,5%, </w:t>
      </w:r>
      <w:r>
        <w:t xml:space="preserve">п.г</w:t>
      </w:r>
      <w:r>
        <w:t xml:space="preserve">. – 1140). При том, что количество приостановленных уголовных дел кратно снизилось по сравнению с уровнем 2024 года и составило 715 преступлений (-40,6%, </w:t>
      </w:r>
      <w:r>
        <w:t xml:space="preserve">п.г</w:t>
      </w:r>
      <w:r>
        <w:t xml:space="preserve">. – 1204), в том числе категории тяжких и особо </w:t>
      </w:r>
      <w:r>
        <w:t xml:space="preserve">тяжких 675 (-41,8%, </w:t>
      </w:r>
      <w:r>
        <w:t xml:space="preserve">п.г</w:t>
      </w:r>
      <w:r>
        <w:t xml:space="preserve">. – 1159). В связи с ростом количества расследованных преступлений, и снижением числа приостановленных преступлений, возросла и их общая раскрываемость, и составила 67,9% (+12,9%, </w:t>
      </w:r>
      <w:r>
        <w:t xml:space="preserve">п.г</w:t>
      </w:r>
      <w:r>
        <w:t xml:space="preserve">. – 55%), в том числе по тяжким и особо тяжким составам преступлений составила 65,1% (+15,5%, </w:t>
      </w:r>
      <w:r>
        <w:t xml:space="preserve">п.г</w:t>
      </w:r>
      <w:r>
        <w:t xml:space="preserve">. – 49,6%).</w:t>
      </w:r>
    </w:p>
    <w:p>
      <w:pPr>
        <w:spacing w:line="276" w:lineRule="auto"/>
        <w:ind w:firstLine="709"/>
        <w:rPr>
          <w:i/>
          <w:sz w:val="24"/>
          <w:szCs w:val="24"/>
        </w:rPr>
      </w:pPr>
      <w:r>
        <w:rPr>
          <w:i/>
          <w:sz w:val="24"/>
          <w:szCs w:val="24"/>
        </w:rPr>
        <w:t xml:space="preserve">Справочно</w:t>
      </w:r>
      <w:r>
        <w:rPr>
          <w:i/>
          <w:sz w:val="24"/>
          <w:szCs w:val="24"/>
        </w:rPr>
        <w:t xml:space="preserve">: </w:t>
      </w:r>
      <w:r>
        <w:rPr>
          <w:i/>
          <w:sz w:val="24"/>
          <w:szCs w:val="24"/>
        </w:rPr>
      </w:r>
    </w:p>
    <w:p>
      <w:pPr>
        <w:spacing w:line="276" w:lineRule="auto"/>
        <w:ind w:firstLine="709"/>
        <w:rPr>
          <w:i/>
          <w:sz w:val="24"/>
          <w:szCs w:val="24"/>
        </w:rPr>
      </w:pPr>
      <w:r>
        <w:rPr>
          <w:i/>
          <w:sz w:val="24"/>
          <w:szCs w:val="24"/>
        </w:rPr>
        <w:t xml:space="preserve">По России число оконченных расследованием </w:t>
      </w:r>
      <w:r>
        <w:rPr>
          <w:i/>
          <w:sz w:val="24"/>
          <w:szCs w:val="24"/>
        </w:rPr>
        <w:t xml:space="preserve">наркопреступлений</w:t>
      </w:r>
      <w:r>
        <w:rPr>
          <w:i/>
          <w:sz w:val="24"/>
          <w:szCs w:val="24"/>
        </w:rPr>
        <w:t xml:space="preserve"> увеличилось на 11,2%, раскрываемость составила 67,8% (+4,6%, </w:t>
      </w:r>
      <w:r>
        <w:rPr>
          <w:i/>
          <w:sz w:val="24"/>
          <w:szCs w:val="24"/>
        </w:rPr>
        <w:t xml:space="preserve">п.г</w:t>
      </w:r>
      <w:r>
        <w:rPr>
          <w:i/>
          <w:sz w:val="24"/>
          <w:szCs w:val="24"/>
        </w:rPr>
        <w:t xml:space="preserve">. – 63,2%);</w:t>
      </w:r>
      <w:r>
        <w:rPr>
          <w:i/>
          <w:sz w:val="24"/>
          <w:szCs w:val="24"/>
        </w:rPr>
      </w:r>
    </w:p>
    <w:p>
      <w:pPr>
        <w:spacing w:line="276" w:lineRule="auto"/>
        <w:ind w:firstLine="709"/>
        <w:rPr>
          <w:i/>
          <w:sz w:val="24"/>
          <w:szCs w:val="24"/>
        </w:rPr>
      </w:pPr>
      <w:r>
        <w:rPr>
          <w:i/>
          <w:sz w:val="24"/>
          <w:szCs w:val="24"/>
        </w:rPr>
        <w:t xml:space="preserve">По </w:t>
      </w:r>
      <w:r>
        <w:rPr>
          <w:i/>
          <w:sz w:val="24"/>
          <w:szCs w:val="24"/>
        </w:rPr>
        <w:t xml:space="preserve">УрФО</w:t>
      </w:r>
      <w:r>
        <w:rPr>
          <w:i/>
          <w:sz w:val="24"/>
          <w:szCs w:val="24"/>
        </w:rPr>
        <w:t xml:space="preserve"> число оконченных расследованием </w:t>
      </w:r>
      <w:r>
        <w:rPr>
          <w:i/>
          <w:sz w:val="24"/>
          <w:szCs w:val="24"/>
        </w:rPr>
        <w:t xml:space="preserve">наркопреступлений</w:t>
      </w:r>
      <w:r>
        <w:rPr>
          <w:i/>
          <w:sz w:val="24"/>
          <w:szCs w:val="24"/>
        </w:rPr>
        <w:t xml:space="preserve"> увеличилось на 13,6%, раскрываемость составила 70,5% (+7,6%, </w:t>
      </w:r>
      <w:r>
        <w:rPr>
          <w:i/>
          <w:sz w:val="24"/>
          <w:szCs w:val="24"/>
        </w:rPr>
        <w:t xml:space="preserve">п.г</w:t>
      </w:r>
      <w:r>
        <w:rPr>
          <w:i/>
          <w:sz w:val="24"/>
          <w:szCs w:val="24"/>
        </w:rPr>
        <w:t xml:space="preserve">. – 62,9%).</w:t>
      </w:r>
      <w:r>
        <w:rPr>
          <w:i/>
          <w:sz w:val="24"/>
          <w:szCs w:val="24"/>
        </w:rPr>
      </w:r>
    </w:p>
    <w:p>
      <w:pPr>
        <w:spacing w:line="276" w:lineRule="auto"/>
        <w:ind w:firstLine="709"/>
      </w:pPr>
      <w:r>
        <w:t xml:space="preserve">Как и прежде, основную массу регистрируемых преступлений по линии НОН составляют сбыты наркотических средств, которых выявлено 2202 (+8%, </w:t>
      </w:r>
      <w:r>
        <w:t xml:space="preserve">п.г</w:t>
      </w:r>
      <w:r>
        <w:t xml:space="preserve">. – 2039) или 79,7% от общего количества зарегистрированных. Окончено предварительным расследованием 995 преступлений данной категории (+7,2%, </w:t>
      </w:r>
      <w:r>
        <w:t xml:space="preserve">п.г</w:t>
      </w:r>
      <w:r>
        <w:t xml:space="preserve">. – 928), при этом значительно снизилось количество </w:t>
      </w:r>
      <w:r>
        <w:t xml:space="preserve">приостановленных уголовных дел</w:t>
      </w:r>
      <w:r>
        <w:t xml:space="preserve"> связанных со сбытом на 42,7% (с 1148 до 658), тем самым произошел рост удельного веса расследованных сбытов, который составил 60,2% (+15,5%, </w:t>
      </w:r>
      <w:r>
        <w:t xml:space="preserve">п.г</w:t>
      </w:r>
      <w:r>
        <w:t xml:space="preserve">. – 44,7%).</w:t>
      </w:r>
    </w:p>
    <w:p>
      <w:pPr>
        <w:spacing w:line="276" w:lineRule="auto"/>
        <w:ind w:firstLine="709"/>
      </w:pPr>
      <w:r>
        <w:t xml:space="preserve">Основным способом распространения наркотиков на территории Югры остается бесконтактный, с использованием современных информационных технологий и </w:t>
      </w:r>
      <w:r>
        <w:t xml:space="preserve">криптовалют</w:t>
      </w:r>
      <w:r>
        <w:t xml:space="preserve">, которые являются преобладающим платежным инструментом и активно используются на различных этапах незаконного оборота наркотиков.</w:t>
      </w:r>
    </w:p>
    <w:p>
      <w:pPr>
        <w:spacing w:line="276" w:lineRule="auto"/>
        <w:ind w:firstLine="709"/>
      </w:pPr>
      <w:r>
        <w:t xml:space="preserve">В 2025 году оперативная обстановка в сфере незаконного оборота наркотиков в округе не претерпела существенных изменений. Основной площадкой сбыта остаётся мессенджер «</w:t>
      </w:r>
      <w:r>
        <w:t xml:space="preserve">Telegram</w:t>
      </w:r>
      <w:r>
        <w:t xml:space="preserve">», а также зафиксирована деятельность 4 основных теневых площадок, занимающихся продажей наркотиков («OMG! OMG!», «</w:t>
      </w:r>
      <w:r>
        <w:t xml:space="preserve">Mega</w:t>
      </w:r>
      <w:r>
        <w:t xml:space="preserve">», «</w:t>
      </w:r>
      <w:r>
        <w:t xml:space="preserve">Blacksprout</w:t>
      </w:r>
      <w:r>
        <w:t xml:space="preserve">», «</w:t>
      </w:r>
      <w:r>
        <w:t xml:space="preserve">Matanga</w:t>
      </w:r>
      <w:r>
        <w:t xml:space="preserve">») на которых располагаются так называемые магазины, осуществляющие непосредственную продажу наркотиков. Основным способом сбыта остается «бесконтактный», посредством организации «тайников - закладок».</w:t>
      </w:r>
    </w:p>
    <w:p>
      <w:pPr>
        <w:spacing w:line="276" w:lineRule="auto"/>
        <w:ind w:firstLine="709"/>
      </w:pPr>
      <w:r>
        <w:t xml:space="preserve">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pPr>
        <w:spacing w:line="276" w:lineRule="auto"/>
        <w:ind w:firstLine="709"/>
      </w:pPr>
      <w:r>
        <w:t xml:space="preserve">В 2025 году зарегистрировано 2307 </w:t>
      </w:r>
      <w:r>
        <w:t xml:space="preserve">наркопреступлений</w:t>
      </w:r>
      <w:r>
        <w:t xml:space="preserve"> указанной категории (+18,3%, 1950), что составляет 83,6% (+11,6%, </w:t>
      </w:r>
      <w:r>
        <w:t xml:space="preserve">п.г</w:t>
      </w:r>
      <w:r>
        <w:t xml:space="preserve">. – 72%) от всех зарегистрированных преступлений в сфере НОН, в том числе 1888 (+26,6%, </w:t>
      </w:r>
      <w:r>
        <w:t xml:space="preserve">п.г</w:t>
      </w:r>
      <w:r>
        <w:t xml:space="preserve">. – 1491) преступления, связанных со сбытом, что составляет 85,7% </w:t>
      </w:r>
      <w:r>
        <w:t xml:space="preserve">(+12,6%, </w:t>
      </w:r>
      <w:r>
        <w:t xml:space="preserve">п.г</w:t>
      </w:r>
      <w:r>
        <w:t xml:space="preserve">. – 73,1%) от всех сбытовых преступлений. Окончено предварительным расследованием 1329 преступлений с использованием информационно-телекоммуникационных технологий (+3,5%, </w:t>
      </w:r>
      <w:r>
        <w:t xml:space="preserve">п.г</w:t>
      </w:r>
      <w:r>
        <w:t xml:space="preserve">. – 1284), раскрываемость составила 74,7% (+7,3%, </w:t>
      </w:r>
      <w:r>
        <w:t xml:space="preserve">п.г</w:t>
      </w:r>
      <w:r>
        <w:t xml:space="preserve">. – 67,4%).</w:t>
      </w:r>
    </w:p>
    <w:p>
      <w:pPr>
        <w:spacing w:line="276" w:lineRule="auto"/>
        <w:ind w:firstLine="709"/>
      </w:pPr>
      <w:r>
        <w:t xml:space="preserve">Одним из наиболее социально-опасных проявлений остаются преступные деяния, связанные с вовлечением в потребление наркотиков и содержанием </w:t>
      </w:r>
      <w:r>
        <w:t xml:space="preserve">наркопритонов</w:t>
      </w:r>
      <w:r>
        <w:t xml:space="preserve">. </w:t>
      </w:r>
    </w:p>
    <w:p>
      <w:pPr>
        <w:pBdr>
          <w:bottom w:val="single" w:color="FFFFFF" w:sz="4" w:space="0"/>
        </w:pBdr>
        <w:spacing w:line="276" w:lineRule="auto"/>
        <w:ind w:firstLine="709"/>
      </w:pPr>
      <w:r>
        <w:t xml:space="preserve">Эффективность работы по противодействию склонению к потреблению наркотиков по ст. 230 УК РФ осталась стабильной, возбуждено 16 уголовных дел (</w:t>
      </w:r>
      <w:r>
        <w:t xml:space="preserve">п.г</w:t>
      </w:r>
      <w:r>
        <w:t xml:space="preserve">. – 16), расследованием окончено и направлено в суд 12 преступлений данной категории (+71,4%, </w:t>
      </w:r>
      <w:r>
        <w:t xml:space="preserve">п.г</w:t>
      </w:r>
      <w:r>
        <w:t xml:space="preserve">. – 7).</w:t>
      </w:r>
    </w:p>
    <w:p>
      <w:pPr>
        <w:spacing w:line="276" w:lineRule="auto"/>
        <w:ind w:firstLine="709"/>
      </w:pPr>
      <w:r>
        <w:t xml:space="preserve">Незначительно снижена эффективность работы по документированию фактов предоставления жилища для потребления наркотиков, возбуждено 4 (</w:t>
      </w:r>
      <w:r>
        <w:t xml:space="preserve">п.г</w:t>
      </w:r>
      <w:r>
        <w:t xml:space="preserve">. – 6), уголовных дел по преступлениям, предусмотренным ст. 232 УК РФ, направлено в суд 4 уголовных дела (</w:t>
      </w:r>
      <w:r>
        <w:t xml:space="preserve">п.г</w:t>
      </w:r>
      <w:r>
        <w:t xml:space="preserve">. – 5).</w:t>
      </w:r>
    </w:p>
    <w:p>
      <w:pPr>
        <w:spacing w:line="276" w:lineRule="auto"/>
        <w:ind w:firstLine="709"/>
      </w:pPr>
      <w:r>
        <w:t xml:space="preserve">Удалось сохранить положительную динамику по противодействию экономическим основам наркобизнеса (ст. 174.1 УК РФ). В рамках деятельности по данному направлению выявлено 20 преступлений (+42,9%, </w:t>
      </w:r>
      <w:r>
        <w:t xml:space="preserve">п.г</w:t>
      </w:r>
      <w:r>
        <w:t xml:space="preserve">. – 14), связанных с легализацией денежных средств, закончено и направлено в суд с обвинительным заключением 18 преступлений (+80%; </w:t>
      </w:r>
      <w:r>
        <w:t xml:space="preserve">п.г</w:t>
      </w:r>
      <w:r>
        <w:t xml:space="preserve">. – 10). Сумма легализованных денежных средств по оконченным преступлениям составила 2 млн. 21 тыс. рублей (</w:t>
      </w:r>
      <w:r>
        <w:t xml:space="preserve">п.г</w:t>
      </w:r>
      <w:r>
        <w:t xml:space="preserve">. – 2 млн. 139 тыс. рублей). В рамках расследования уголовных дел по данному виду преступлений наложен арест на имущество на сумму 2 млн. 897 тыс. рублей</w:t>
      </w:r>
      <w:r>
        <w:br/>
        <w:t xml:space="preserve">(</w:t>
      </w:r>
      <w:r>
        <w:t xml:space="preserve">п.г</w:t>
      </w:r>
      <w:r>
        <w:t xml:space="preserve">. – 9 млн. 654 тыс. рублей).</w:t>
      </w:r>
    </w:p>
    <w:p>
      <w:pPr>
        <w:spacing w:line="276" w:lineRule="auto"/>
        <w:ind w:firstLine="709"/>
      </w:pPr>
      <w:r>
        <w:t xml:space="preserve">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w:t>
      </w:r>
      <w:r>
        <w:t xml:space="preserve">аркотических средств синтетического и растительного происхождения, по-прежнему сконцентрирован в руках представителей преступных формирований, преимущественно групп, носящих межрегиональный и межгосударственный характер. В их состав входят молодые люди, в </w:t>
      </w:r>
      <w:r>
        <w:t xml:space="preserve">т.ч</w:t>
      </w:r>
      <w:r>
        <w:t xml:space="preserve">. иностранные граждан</w:t>
      </w:r>
      <w:r>
        <w:t xml:space="preserve">е, выходцы государств СНГ (чаще Таджикистана, Киргизии, Узбекистана, Азербайджана, Армении и Беларуси), активно использующих в своей преступной деятельности современные цифровые технологии, телекоммуникационную сеть Интернет, электронные средства оплаты и </w:t>
      </w:r>
      <w:r>
        <w:t xml:space="preserve">криптовалюты</w:t>
      </w:r>
      <w:r>
        <w:t xml:space="preserve">. Организаторы таких групп могут проживать за границей. </w:t>
      </w:r>
    </w:p>
    <w:p>
      <w:pPr>
        <w:spacing w:line="276" w:lineRule="auto"/>
        <w:ind w:firstLine="709"/>
      </w:pPr>
      <w:r>
        <w:t xml:space="preserve">Устойчивые преступные группы выходцев из Северного Кавказа и Закавказья на территории округа не зафиксированы. Цыганские преступные группы на территории региона отсутствуют.</w:t>
      </w:r>
    </w:p>
    <w:p>
      <w:pPr>
        <w:spacing w:line="276" w:lineRule="auto"/>
        <w:ind w:firstLine="709"/>
      </w:pPr>
      <w:r>
        <w:t xml:space="preserve">Наибольшее влияние на оперативную обстановку преступных групп отмечено в городах Сургут, Нижневартовск, Нефтеюганск, Сургутском районе.</w:t>
      </w:r>
    </w:p>
    <w:p>
      <w:pPr>
        <w:spacing w:line="276" w:lineRule="auto"/>
        <w:ind w:firstLine="709"/>
      </w:pPr>
      <w:r>
        <w:t xml:space="preserve">Сохраняется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w:t>
      </w:r>
      <w:r>
        <w:t xml:space="preserve">УрФО</w:t>
      </w:r>
      <w:r>
        <w:t xml:space="preserve">.</w:t>
      </w:r>
    </w:p>
    <w:p>
      <w:pPr>
        <w:spacing w:line="276" w:lineRule="auto"/>
        <w:ind w:firstLine="709"/>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pPr>
        <w:spacing w:line="276" w:lineRule="auto"/>
        <w:ind w:firstLine="709"/>
      </w:pPr>
      <w:r>
        <w:t xml:space="preserve">Пресечено 47 каналов поступления запрещенных к обороту веществ на территорию округа (</w:t>
      </w:r>
      <w:r>
        <w:t xml:space="preserve">п.г</w:t>
      </w:r>
      <w:r>
        <w:t xml:space="preserve">. – 44), из которых: 44 канала из других регионов Российской Федерации (</w:t>
      </w:r>
      <w:r>
        <w:t xml:space="preserve">п.г</w:t>
      </w:r>
      <w:r>
        <w:t xml:space="preserve">. – 37) и 3 контрабандных канала (</w:t>
      </w:r>
      <w:r>
        <w:t xml:space="preserve">п.г</w:t>
      </w:r>
      <w:r>
        <w:t xml:space="preserve">. – 7).</w:t>
      </w:r>
    </w:p>
    <w:p>
      <w:pPr>
        <w:spacing w:line="276" w:lineRule="auto"/>
        <w:ind w:firstLine="709"/>
        <w:rPr>
          <w:i/>
          <w:sz w:val="24"/>
          <w:szCs w:val="24"/>
        </w:rPr>
      </w:pPr>
      <w:r>
        <w:rPr>
          <w:i/>
          <w:sz w:val="24"/>
          <w:szCs w:val="24"/>
        </w:rPr>
        <w:t xml:space="preserve">Справочно</w:t>
      </w:r>
      <w:r>
        <w:rPr>
          <w:i/>
          <w:sz w:val="24"/>
          <w:szCs w:val="24"/>
        </w:rPr>
        <w:t xml:space="preserve">: Межрегиональные поставки осуществлялись из Московской, Ленинградской, Свердловской и Самарской областей, республики Башкортостан, а </w:t>
      </w:r>
      <w:r>
        <w:rPr>
          <w:i/>
          <w:sz w:val="24"/>
          <w:szCs w:val="24"/>
        </w:rPr>
        <w:t xml:space="preserve">также городов: Москва, Санкт-Петербург, Нижний Новгород, Тула, Новосибирск, Красноярск, Екатеринбург, Тюмень, Курган и ЯНАО: в том числе 33 – автотранспортом, 2 – железнодорожным транспортом, 1 – транспортной компанией, а также 8 – почтовыми отправлениями.</w:t>
      </w:r>
      <w:r>
        <w:rPr>
          <w:i/>
          <w:sz w:val="24"/>
          <w:szCs w:val="24"/>
        </w:rPr>
      </w:r>
    </w:p>
    <w:p>
      <w:pPr>
        <w:spacing w:line="276" w:lineRule="auto"/>
        <w:ind w:firstLine="709"/>
        <w:rPr>
          <w:i/>
          <w:sz w:val="24"/>
          <w:szCs w:val="24"/>
        </w:rPr>
      </w:pPr>
      <w:r>
        <w:rPr>
          <w:i/>
          <w:sz w:val="24"/>
          <w:szCs w:val="24"/>
        </w:rPr>
        <w:t xml:space="preserve">Контрабандные поставки осуществлялись международными почтовыми отправлениями из Казахстана, Индии.</w:t>
      </w:r>
      <w:r>
        <w:rPr>
          <w:i/>
          <w:sz w:val="24"/>
          <w:szCs w:val="24"/>
        </w:rPr>
      </w:r>
    </w:p>
    <w:p>
      <w:pPr>
        <w:pBdr>
          <w:bottom w:val="single" w:color="FFFFFF" w:sz="4" w:space="0"/>
        </w:pBdr>
        <w:spacing w:line="276" w:lineRule="auto"/>
        <w:ind w:firstLine="709"/>
      </w:pPr>
      <w:r>
        <w:t xml:space="preserve">Общая масса изъятых у курьеров наркотиков составила более 117 кг (117 кг 78 грамм, </w:t>
      </w:r>
      <w:r>
        <w:t xml:space="preserve">п.г</w:t>
      </w:r>
      <w:r>
        <w:t xml:space="preserve">. – 38 кг 592 грамм).</w:t>
      </w:r>
    </w:p>
    <w:p>
      <w:pPr>
        <w:spacing w:line="276" w:lineRule="auto"/>
        <w:ind w:firstLine="709"/>
      </w:pPr>
      <w:r>
        <w:t xml:space="preserve">В рамках проводимой работы задержано 31 лицо, выполнявших роль межрегиональных курьеров (</w:t>
      </w:r>
      <w:r>
        <w:t xml:space="preserve">п.г</w:t>
      </w:r>
      <w:r>
        <w:t xml:space="preserve">. – 16), действовавших в интересах «Интернет-магазинов», распространяющих наркотики бесконтактным способом. Иностранные граждане, выполнявшие роль межрегиональных курьеров, не задерживались (</w:t>
      </w:r>
      <w:r>
        <w:t xml:space="preserve">п.г</w:t>
      </w:r>
      <w:r>
        <w:t xml:space="preserve">. – 3). </w:t>
      </w:r>
    </w:p>
    <w:p>
      <w:pPr>
        <w:spacing w:line="276" w:lineRule="auto"/>
        <w:ind w:firstLine="709"/>
      </w:pPr>
      <w:r>
        <w:t xml:space="preserve">В рамках противодействия организованным формам </w:t>
      </w:r>
      <w:r>
        <w:t xml:space="preserve">наркопреступности</w:t>
      </w:r>
      <w:r>
        <w:t xml:space="preserve">, раскрыто 210 преступлений, совершённых в составе организованной преступной группы (+25,7%, </w:t>
      </w:r>
      <w:r>
        <w:t xml:space="preserve">п.г</w:t>
      </w:r>
      <w:r>
        <w:t xml:space="preserve">. – 167) и 712 преступлений, совершённых группой лиц по предварительному сговору (</w:t>
      </w:r>
      <w:r>
        <w:t xml:space="preserve">п.г</w:t>
      </w:r>
      <w:r>
        <w:t xml:space="preserve">. – 712).</w:t>
      </w:r>
    </w:p>
    <w:p>
      <w:pPr>
        <w:spacing w:line="276" w:lineRule="auto"/>
        <w:ind w:firstLine="709"/>
      </w:pPr>
      <w:r>
        <w:t xml:space="preserve">К уголовной ответственности, по оконченным предварительным расследованием уголовным делам, в составе организованной преступной группы (ОПГ) привлечено 23 лица (-53,1%, </w:t>
      </w:r>
      <w:r>
        <w:t xml:space="preserve">п.г</w:t>
      </w:r>
      <w:r>
        <w:t xml:space="preserve">. – 49) и 165 лиц, совершивших </w:t>
      </w:r>
      <w:r>
        <w:t xml:space="preserve">преступления в составе группы лиц по предварительному сговору (ГПС) </w:t>
      </w:r>
      <w:r>
        <w:br/>
        <w:t xml:space="preserve">(-20,7%, </w:t>
      </w:r>
      <w:r>
        <w:t xml:space="preserve">п.г</w:t>
      </w:r>
      <w:r>
        <w:t xml:space="preserve">. – 208).</w:t>
      </w:r>
    </w:p>
    <w:p>
      <w:pPr>
        <w:spacing w:line="276" w:lineRule="auto"/>
        <w:ind w:firstLine="709"/>
        <w:rPr>
          <w:i/>
          <w:sz w:val="24"/>
          <w:szCs w:val="24"/>
        </w:rPr>
      </w:pPr>
      <w:r>
        <w:rPr>
          <w:i/>
          <w:sz w:val="24"/>
          <w:szCs w:val="24"/>
        </w:rPr>
        <w:t xml:space="preserve">Справочно</w:t>
      </w:r>
      <w:r>
        <w:rPr>
          <w:i/>
          <w:sz w:val="24"/>
          <w:szCs w:val="24"/>
        </w:rPr>
        <w:t xml:space="preserve">: </w:t>
      </w:r>
      <w:r>
        <w:rPr>
          <w:i/>
          <w:sz w:val="24"/>
          <w:szCs w:val="24"/>
        </w:rPr>
      </w:r>
    </w:p>
    <w:p>
      <w:pPr>
        <w:spacing w:line="276" w:lineRule="auto"/>
        <w:ind w:firstLine="709"/>
        <w:rPr>
          <w:i/>
          <w:sz w:val="24"/>
          <w:szCs w:val="24"/>
        </w:rPr>
      </w:pPr>
      <w:r>
        <w:rPr>
          <w:i/>
          <w:sz w:val="24"/>
          <w:szCs w:val="24"/>
        </w:rPr>
        <w:t xml:space="preserve">1) </w:t>
      </w:r>
      <w:r>
        <w:rPr>
          <w:i/>
          <w:sz w:val="24"/>
          <w:szCs w:val="24"/>
        </w:rPr>
        <w:t xml:space="preserve">В</w:t>
      </w:r>
      <w:r>
        <w:rPr>
          <w:i/>
          <w:sz w:val="24"/>
          <w:szCs w:val="24"/>
        </w:rPr>
        <w:t xml:space="preserve"> ходе проведения комплекса ОРМ задокументирована деятельность преступного формирования, действовавшего в интересах интернет-магазина «Отряд Самоубийц», с целью сбыта наркотических средств на территории ХМАО-Югры.</w:t>
      </w:r>
      <w:r>
        <w:rPr>
          <w:i/>
          <w:sz w:val="24"/>
          <w:szCs w:val="24"/>
        </w:rPr>
      </w:r>
    </w:p>
    <w:p>
      <w:pPr>
        <w:spacing w:line="276" w:lineRule="auto"/>
        <w:ind w:firstLine="709"/>
        <w:rPr>
          <w:i/>
          <w:sz w:val="24"/>
          <w:szCs w:val="24"/>
        </w:rPr>
      </w:pPr>
      <w:r>
        <w:rPr>
          <w:i/>
          <w:sz w:val="24"/>
          <w:szCs w:val="24"/>
        </w:rPr>
        <w:t xml:space="preserve">Установлено и задержано 9 активных участников, из которых 3 являлись гражданами иностранных государств Арме</w:t>
      </w:r>
      <w:r>
        <w:rPr>
          <w:i/>
          <w:sz w:val="24"/>
          <w:szCs w:val="24"/>
        </w:rPr>
        <w:t xml:space="preserve">нии и Белоруссии, а также жители Красноярского края и Иркутской области, у которых из незаконного оборота изъято более 3,5 кг наркотических средств. Уголовные дела в отношении всех участников были направлены в суд с квалификацией «совершено в составе ОПГ».</w:t>
      </w:r>
      <w:r>
        <w:rPr>
          <w:i/>
          <w:sz w:val="24"/>
          <w:szCs w:val="24"/>
        </w:rPr>
      </w:r>
    </w:p>
    <w:p>
      <w:pPr>
        <w:spacing w:line="276" w:lineRule="auto"/>
        <w:ind w:firstLine="709"/>
        <w:rPr>
          <w:i/>
          <w:sz w:val="24"/>
          <w:szCs w:val="24"/>
        </w:rPr>
      </w:pPr>
      <w:r>
        <w:rPr>
          <w:i/>
          <w:sz w:val="24"/>
          <w:szCs w:val="24"/>
        </w:rPr>
        <w:t xml:space="preserve">2) </w:t>
      </w:r>
      <w:r>
        <w:rPr>
          <w:i/>
          <w:sz w:val="24"/>
          <w:szCs w:val="24"/>
        </w:rPr>
        <w:t xml:space="preserve">В</w:t>
      </w:r>
      <w:r>
        <w:rPr>
          <w:i/>
          <w:sz w:val="24"/>
          <w:szCs w:val="24"/>
        </w:rPr>
        <w:t xml:space="preserve"> ходе проведения комплекса ОРМ задокументирована деятельность преступной группы, состоящей из жителей городов Нижневартовска и </w:t>
      </w:r>
      <w:r>
        <w:rPr>
          <w:i/>
          <w:sz w:val="24"/>
          <w:szCs w:val="24"/>
        </w:rPr>
        <w:t xml:space="preserve">Лангепаса</w:t>
      </w:r>
      <w:r>
        <w:rPr>
          <w:i/>
          <w:sz w:val="24"/>
          <w:szCs w:val="24"/>
        </w:rPr>
        <w:t xml:space="preserve">, организовавших и действовавших в интересах интернет-магазина «Вулкан», с целью сбыта сильнодействующих веществ на территории ХМАО-Югры.</w:t>
      </w:r>
      <w:r>
        <w:rPr>
          <w:i/>
          <w:sz w:val="24"/>
          <w:szCs w:val="24"/>
        </w:rPr>
      </w:r>
    </w:p>
    <w:p>
      <w:pPr>
        <w:spacing w:line="276" w:lineRule="auto"/>
        <w:ind w:firstLine="709"/>
        <w:rPr>
          <w:i/>
          <w:sz w:val="24"/>
          <w:szCs w:val="24"/>
        </w:rPr>
      </w:pPr>
      <w:r>
        <w:rPr>
          <w:i/>
          <w:sz w:val="24"/>
          <w:szCs w:val="24"/>
        </w:rPr>
        <w:t xml:space="preserve">Установлено и задержано 4 активных участника из незаконного оборота изъято более 3 кг сильнодействующего вещества «</w:t>
      </w:r>
      <w:r>
        <w:rPr>
          <w:i/>
          <w:sz w:val="24"/>
          <w:szCs w:val="24"/>
        </w:rPr>
        <w:t xml:space="preserve">прегабалин</w:t>
      </w:r>
      <w:r>
        <w:rPr>
          <w:i/>
          <w:sz w:val="24"/>
          <w:szCs w:val="24"/>
        </w:rPr>
        <w:t xml:space="preserve">». Уголовное дело в отношении всех участников было направлено в суд с квалификацией «совершено в составе ОПГ».</w:t>
      </w:r>
      <w:r>
        <w:rPr>
          <w:i/>
          <w:sz w:val="24"/>
          <w:szCs w:val="24"/>
        </w:rPr>
      </w:r>
    </w:p>
    <w:p>
      <w:pPr>
        <w:spacing w:line="276" w:lineRule="auto"/>
        <w:ind w:firstLine="709"/>
        <w:rPr>
          <w:color w:val="ff0000"/>
        </w:rPr>
      </w:pPr>
      <w:r>
        <w:t xml:space="preserve">Проводимый анализ</w:t>
      </w:r>
      <w:r>
        <w:t xml:space="preserve">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156 (-25,4%, </w:t>
      </w:r>
      <w:r>
        <w:t xml:space="preserve">п.г</w:t>
      </w:r>
      <w:r>
        <w:t xml:space="preserve">. – 209) граждан РФ, в том числе 137 (-19,9%, </w:t>
      </w:r>
      <w:r>
        <w:t xml:space="preserve">п.г</w:t>
      </w:r>
      <w:r>
        <w:t xml:space="preserve">. – 171)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19 (-75%, </w:t>
      </w:r>
      <w:r>
        <w:t xml:space="preserve">п.г</w:t>
      </w:r>
      <w:r>
        <w:t xml:space="preserve">. –</w:t>
      </w:r>
      <w:r>
        <w:t xml:space="preserve"> 36) жителей других регионов, в том числе: Иркутской области – 6, Пермской области – 2, Ленинградской, Свердловской, Тюменской, Кемеровской, Омской, Самарской, Тверской, Пензенской областей, а также Красноярского края и Республик Коми и Башкортостан – по 1</w:t>
      </w:r>
      <w:r>
        <w:rPr>
          <w:color w:val="000000" w:themeColor="text1"/>
        </w:rPr>
        <w:t xml:space="preserve">.</w:t>
      </w:r>
      <w:r>
        <w:rPr>
          <w:color w:val="ff0000"/>
        </w:rPr>
        <w:t xml:space="preserve"> </w:t>
      </w:r>
      <w:r>
        <w:rPr>
          <w:color w:val="ff0000"/>
        </w:rPr>
      </w:r>
    </w:p>
    <w:p>
      <w:pPr>
        <w:pBdr>
          <w:bottom w:val="single" w:color="FFFFFF" w:sz="4" w:space="0"/>
        </w:pBdr>
        <w:spacing w:line="276" w:lineRule="auto"/>
        <w:ind w:firstLine="709"/>
      </w:pPr>
      <w:r>
        <w:t xml:space="preserve">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pPr>
        <w:spacing w:line="276" w:lineRule="auto"/>
        <w:ind w:firstLine="709"/>
      </w:pPr>
      <w:r>
        <w:t xml:space="preserve">Как и годом раннее, подавляющее большинство из числа привлеченных к уголовной ответственности за совершение преступлений в сфере НОН – 565 (-26,8%, </w:t>
      </w:r>
      <w:r>
        <w:t xml:space="preserve">п.г</w:t>
      </w:r>
      <w:r>
        <w:t xml:space="preserve">. – 772), составляют мужчины – 476 или 84,2% (</w:t>
      </w:r>
      <w:r>
        <w:t xml:space="preserve">п.г</w:t>
      </w:r>
      <w:r>
        <w:t xml:space="preserve">. – 658 или 85,2%), женщины – 89 или 15,8% (</w:t>
      </w:r>
      <w:r>
        <w:t xml:space="preserve">п.г</w:t>
      </w:r>
      <w:r>
        <w:t xml:space="preserve">. – 114 или 14,8%). Более половины из них не имеют постоянного источника дохода – 332 или 58,8% (</w:t>
      </w:r>
      <w:r>
        <w:t xml:space="preserve">п.г</w:t>
      </w:r>
      <w:r>
        <w:t xml:space="preserve">. – 510 или 66,1%).</w:t>
      </w:r>
    </w:p>
    <w:p>
      <w:pPr>
        <w:spacing w:line="276" w:lineRule="auto"/>
        <w:ind w:firstLine="709"/>
      </w:pPr>
      <w:r>
        <w:t xml:space="preserve">К возрастной группе от 18 до 29 лет относятся – 177 или 31,3% (</w:t>
      </w:r>
      <w:r>
        <w:t xml:space="preserve">п.г</w:t>
      </w:r>
      <w:r>
        <w:t xml:space="preserve">. – 275 или 35,6%) привлеченных к уголовной ответственности за НОН, к группе от 30 до 39 лет – 193 или 34,2% (</w:t>
      </w:r>
      <w:r>
        <w:t xml:space="preserve">п.г</w:t>
      </w:r>
      <w:r>
        <w:t xml:space="preserve">. – 270 или 35%), к группе от 40 лет и старше – 169 или 29,9% (</w:t>
      </w:r>
      <w:r>
        <w:t xml:space="preserve">п.г</w:t>
      </w:r>
      <w:r>
        <w:t xml:space="preserve">. – 204 или 26,4%) и к группе от 14 до 17 лет – 26 или 4,6% (</w:t>
      </w:r>
      <w:r>
        <w:t xml:space="preserve">п.г</w:t>
      </w:r>
      <w:r>
        <w:t xml:space="preserve">. – 23 или 3%).</w:t>
      </w:r>
    </w:p>
    <w:p>
      <w:pPr>
        <w:spacing w:line="276" w:lineRule="auto"/>
        <w:ind w:firstLine="709"/>
      </w:pPr>
      <w:r>
        <w:t xml:space="preserve">Из общего числа лиц, привлеченных к уголовной ответственности за совершение преступлений в сфере НОН, 527 лиц (-24,6%, </w:t>
      </w:r>
      <w:r>
        <w:t xml:space="preserve">п.г</w:t>
      </w:r>
      <w:r>
        <w:t xml:space="preserve">. – 699) – граждане Российской Федерации, что составляет более 80,3% (-10,2%, </w:t>
      </w:r>
      <w:r>
        <w:t xml:space="preserve">п.г</w:t>
      </w:r>
      <w:r>
        <w:t xml:space="preserve">. – 90,5%).</w:t>
      </w:r>
    </w:p>
    <w:p>
      <w:pPr>
        <w:spacing w:line="276" w:lineRule="auto"/>
        <w:ind w:firstLine="709"/>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Югры.</w:t>
      </w:r>
    </w:p>
    <w:p>
      <w:pPr>
        <w:spacing w:line="276" w:lineRule="auto"/>
        <w:ind w:firstLine="709"/>
      </w:pPr>
      <w:r>
        <w:t xml:space="preserve">По итогам 12 месяцев 2025 года м</w:t>
      </w:r>
      <w:r>
        <w:t xml:space="preserve">играционная ситуация на территории автономного округа характеризуется незначительным увеличением количества фактов постановки на миграционный учет иностранных граждан (+2,8%, со 161383 до 165 980), и увеличением снятия с учета (+2,8%, со 169178 до 173929).</w:t>
      </w:r>
    </w:p>
    <w:p>
      <w:pPr>
        <w:pStyle w:val="1615"/>
        <w:spacing w:line="276" w:lineRule="auto"/>
        <w:ind w:left="0" w:firstLine="709"/>
      </w:pPr>
      <w:r>
        <w:t xml:space="preserve">Кроме того, отмечается увеличение числа иностранных граждан, фактически состоящих на миграционном учете (+4,9%; с 39503 до 41427).</w:t>
      </w:r>
    </w:p>
    <w:p>
      <w:pPr>
        <w:spacing w:line="276" w:lineRule="auto"/>
        <w:ind w:firstLine="709"/>
      </w:pPr>
      <w:r>
        <w:t xml:space="preserve">Основной миграционный поток приходится (от числа первично поставленных) на граждан государств-участников СНГ, что в количественном выражении составляет 97,6% (или 77594 из 79469). Подавляющее большинство всех ино</w:t>
      </w:r>
      <w:r>
        <w:t xml:space="preserve">странных граждан, прибывших в Российскую Федерацию, составляют выходцы из Узбекистана – 27,7% (22066) и Таджикистана – 39,9% (31696), Кыргызстана – 13,8% (10997), Казахстана – 5,5% (4410), Азербайджана – 6,2% (4980), Республики Беларусь – 1,4% (1502) и др.</w:t>
      </w:r>
    </w:p>
    <w:p>
      <w:pPr>
        <w:spacing w:line="276" w:lineRule="auto"/>
        <w:ind w:firstLine="709"/>
      </w:pPr>
      <w:r>
        <w:t xml:space="preserve">Наблюдается увеличение количества иностранных граждан и лиц без гражданства, оформивших визы (+47,2%, с 265 до 390) и оформленных приглашений на въезд в Российскую Федерацию (+6,9%, с 305 до 326).</w:t>
      </w:r>
    </w:p>
    <w:p>
      <w:pPr>
        <w:pStyle w:val="1722"/>
        <w:shd w:val="clear" w:color="auto" w:fill="ffffff"/>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Сохраняе</w:t>
      </w:r>
      <w:r>
        <w:rPr>
          <w:rFonts w:ascii="Times New Roman" w:hAnsi="Times New Roman" w:cs="Times New Roman"/>
          <w:sz w:val="28"/>
          <w:szCs w:val="28"/>
        </w:rPr>
        <w:t xml:space="preserve">тся тенденция сокращения числа лиц, приобретших российское гражданство (-17,4%, с 10810 до 8933), количества оформленных разрешений на временное проживание в Российской Федерации (-55,2%, с 812 до 364), а также видов на жительство (-33,5%, с 8698 до 5783).</w:t>
      </w:r>
      <w:r>
        <w:rPr>
          <w:rFonts w:ascii="Times New Roman" w:hAnsi="Times New Roman" w:cs="Times New Roman"/>
          <w:sz w:val="28"/>
          <w:szCs w:val="28"/>
        </w:rPr>
      </w:r>
    </w:p>
    <w:p>
      <w:pPr>
        <w:spacing w:line="276" w:lineRule="auto"/>
        <w:ind w:firstLine="709"/>
      </w:pPr>
      <w:r>
        <w:t xml:space="preserve">В 2025 году оформлено 26611 патентов (+5%, </w:t>
      </w:r>
      <w:r>
        <w:t xml:space="preserve">п.г</w:t>
      </w:r>
      <w:r>
        <w:t xml:space="preserve">. – 25348). Сумма поступившего в бюджет автономного округа налога на доходы физических </w:t>
      </w:r>
      <w:r>
        <w:t xml:space="preserve">лиц в виде фиксированного авансового платежа возросла на 24,9%, составив более 2 млрд. рублей (с 1992894 до 2488136).</w:t>
      </w:r>
    </w:p>
    <w:p>
      <w:pPr>
        <w:pStyle w:val="1615"/>
        <w:spacing w:line="276" w:lineRule="auto"/>
        <w:ind w:left="0" w:firstLine="709"/>
      </w:pPr>
      <w:r>
        <w:t xml:space="preserve">В 2025 году от работодателей, заказчиков работ (услуг) поступило </w:t>
      </w:r>
      <w:r>
        <w:br/>
        <w:t xml:space="preserve">38860 (+1,6%, </w:t>
      </w:r>
      <w:r>
        <w:t xml:space="preserve">п.г</w:t>
      </w:r>
      <w:r>
        <w:t xml:space="preserve">. – 38239) уведомлений о заключении трудовых договоров </w:t>
      </w:r>
      <w:r>
        <w:br/>
        <w:t xml:space="preserve">с иностранными гражданами, осуществляющими трудовую деятельность, а также 32330 (+14,8%, </w:t>
      </w:r>
      <w:r>
        <w:t xml:space="preserve">п.г</w:t>
      </w:r>
      <w:r>
        <w:t xml:space="preserve">. – 28170) о расторжении трудовых или гражданско-правовых договоров с иностранцами.</w:t>
      </w:r>
    </w:p>
    <w:p>
      <w:pPr>
        <w:pStyle w:val="1615"/>
        <w:spacing w:line="276" w:lineRule="auto"/>
        <w:ind w:left="0" w:firstLine="709"/>
      </w:pPr>
      <w:r>
        <w:t xml:space="preserve">В течение 2025 года оформлено 145 разрешения на работу (+40,8%, </w:t>
      </w:r>
      <w:r>
        <w:t xml:space="preserve">п.г</w:t>
      </w:r>
      <w:r>
        <w:t xml:space="preserve">. – 103), в том числе 89 (+в 2 раза, </w:t>
      </w:r>
      <w:r>
        <w:t xml:space="preserve">п.г</w:t>
      </w:r>
      <w:r>
        <w:t xml:space="preserve">. – 45) высококвалифицированным специалистам.</w:t>
      </w:r>
    </w:p>
    <w:p>
      <w:pPr>
        <w:spacing w:line="276" w:lineRule="auto"/>
        <w:ind w:firstLine="709"/>
      </w:pPr>
      <w:r>
        <w:t xml:space="preserve">В отношении иностранных граждан и лиц без гражданства принято 231 решений об отказе в выдаче (-10,1%, </w:t>
      </w:r>
      <w:r>
        <w:t xml:space="preserve">п.г</w:t>
      </w:r>
      <w:r>
        <w:t xml:space="preserve">. – 257) и 4234 – об аннулировании (+в 1,8 раза; </w:t>
      </w:r>
      <w:r>
        <w:t xml:space="preserve">п.г</w:t>
      </w:r>
      <w:r>
        <w:t xml:space="preserve">. – 2424) разрешительных документов.</w:t>
      </w:r>
    </w:p>
    <w:p>
      <w:pPr>
        <w:spacing w:line="276" w:lineRule="auto"/>
        <w:ind w:firstLine="709"/>
      </w:pPr>
      <w:r>
        <w:t xml:space="preserve">Наблюдается значительное снижение числа лиц, приобретших российское гражданство (-17,4%, с 10810 до 8933). </w:t>
      </w:r>
    </w:p>
    <w:p>
      <w:pPr>
        <w:spacing w:line="276" w:lineRule="auto"/>
        <w:ind w:firstLine="709"/>
      </w:pPr>
      <w:r>
        <w:t xml:space="preserve">Существенно возросло количество принятых решений как о прекращении гражданства Российской Федерации (+в 4 раза; с 30 до 120), так и об отклонении заявлений о приеме, признании гражданином Российской Федерации (+в 2 раза, с 74 до 145).</w:t>
      </w:r>
    </w:p>
    <w:p>
      <w:pPr>
        <w:spacing w:line="276" w:lineRule="auto"/>
        <w:ind w:firstLine="709"/>
      </w:pPr>
      <w:r>
        <w:t xml:space="preserve">В целях повышения уровня контроля за нахождением иностранных граждан на территории округа, профилактики совершения ими преступных деяний и оздоровления криминогенной ситуации, в течение </w:t>
      </w:r>
      <w:r>
        <w:t xml:space="preserve">2025 года сотрудниками У(О)МВД на территории автономного округа проведены оперативно-профилактические мероприятия: «Нелегальный мигрант» (с 10.02.2025 по 13.02.2025), «Иностранец» (с 14.04.2025 по 18.04.2025), «Жилой сектор» (с 11.08.2025 по 15.08.2025), «</w:t>
      </w:r>
      <w:r>
        <w:t xml:space="preserve">Незаконник</w:t>
      </w:r>
      <w:r>
        <w:t xml:space="preserve">» (с 27.11.2025 по 02.12.2025) и 2 этапа комплексных оперативно-профилактических операций «Нелегал-2025» (с 16.06.2025 по 25.06.2025 и с 13.10.2025 по 24.10.2025).</w:t>
      </w:r>
    </w:p>
    <w:p>
      <w:pPr>
        <w:spacing w:line="276" w:lineRule="auto"/>
        <w:ind w:firstLine="709"/>
      </w:pPr>
      <w:r>
        <w:t xml:space="preserve">Всего в рамках осуществления контроля за исполнением миграционного законодательства проведено 4564 (+1,6 раза, </w:t>
      </w:r>
      <w:r>
        <w:t xml:space="preserve">п.г</w:t>
      </w:r>
      <w:r>
        <w:t xml:space="preserve">. – 2835) проверочных мероприятий на объектах торговли и строительства, в жилом секторе и местах компактного пребывания (проживания) иностранцев.</w:t>
      </w:r>
    </w:p>
    <w:p>
      <w:pPr>
        <w:spacing w:line="276" w:lineRule="auto"/>
        <w:ind w:firstLine="709"/>
      </w:pPr>
      <w:r>
        <w:t xml:space="preserve">По результатам контрольных (надзорных) мероприятий должностными лицами </w:t>
      </w:r>
      <w:r>
        <w:t xml:space="preserve">У</w:t>
      </w:r>
      <w:r>
        <w:t xml:space="preserve">(О)МВД пресечено 12056 (+2,9%, </w:t>
      </w:r>
      <w:r>
        <w:t xml:space="preserve">п.г</w:t>
      </w:r>
      <w:r>
        <w:t xml:space="preserve">. – 11711) административных правонарушений, предусмотренных главой 18 КоАП РФ и ст.19.27 КоАП РФ.</w:t>
      </w:r>
    </w:p>
    <w:p>
      <w:pPr>
        <w:pStyle w:val="1615"/>
        <w:spacing w:line="276" w:lineRule="auto"/>
        <w:ind w:left="0" w:firstLine="709"/>
      </w:pPr>
      <w:r>
        <w:t xml:space="preserve">Удалось достичь значительного увеличения числа выявленных иностранных граждан, незаконно находящихся на территории Российской Федерации (+60,3%, с 1595 до 2556).</w:t>
      </w:r>
    </w:p>
    <w:p>
      <w:pPr>
        <w:pStyle w:val="1615"/>
        <w:spacing w:line="276" w:lineRule="auto"/>
        <w:ind w:left="0" w:firstLine="709"/>
      </w:pPr>
      <w:r>
        <w:t xml:space="preserve">За 12 месяцев 2025 года в отношении иностранных граждан принято 45 решений о депортации с территории Российской Федерации (-63,4%, </w:t>
      </w:r>
      <w:r>
        <w:t xml:space="preserve">п.г</w:t>
      </w:r>
      <w:r>
        <w:t xml:space="preserve">. – 123). Фактически в административном порядке выдворены 1488 лиц (+17,8%, </w:t>
      </w:r>
      <w:r>
        <w:t xml:space="preserve">п.г</w:t>
      </w:r>
      <w:r>
        <w:t xml:space="preserve">. – 1263).</w:t>
      </w:r>
    </w:p>
    <w:p>
      <w:pPr>
        <w:pStyle w:val="1615"/>
        <w:spacing w:line="276" w:lineRule="auto"/>
        <w:ind w:left="0" w:firstLine="709"/>
      </w:pPr>
      <w:r>
        <w:t xml:space="preserve">Согласно статистическим данным ИЦ УМВД России по округу за 2025 год число иностранных граждан, совершивших прест</w:t>
      </w:r>
      <w:r>
        <w:t xml:space="preserve">упления на территории автономного округа, сократилось с 275 до 230 (–16,3%) по сравнению с 2024 годом. Вместе с тем, в связи с множественностью установленных эпизодов сбыта наркотических средств (58,7% или 298 преступлений из общего числа преступных деяний</w:t>
      </w:r>
      <w:r>
        <w:t xml:space="preserve">, совершенных мигрантами), увеличилось общее количество учитываемых преступлений, совершённых иностранными гражданами (+44,1%, с 352 до 508). Указанный рост связан с проведением целенаправленных оперативных мероприятий по перекрытию каналов наркоторговли. </w:t>
      </w:r>
    </w:p>
    <w:p>
      <w:pPr>
        <w:pStyle w:val="1615"/>
        <w:spacing w:line="276" w:lineRule="auto"/>
        <w:ind w:left="0" w:firstLine="709"/>
      </w:pPr>
      <w:r>
        <w:t xml:space="preserve">Количество преступлений, совершенных в отношении указанных лиц, сократилось на 37% (с 100 до 63). Большую часть указанных деяний составляют мошенничества – 19 (-24%, </w:t>
      </w:r>
      <w:r>
        <w:t xml:space="preserve">п.г</w:t>
      </w:r>
      <w:r>
        <w:t xml:space="preserve">. – 25) и кражи – 17 (-50%, </w:t>
      </w:r>
      <w:r>
        <w:t xml:space="preserve">п.г</w:t>
      </w:r>
      <w:r>
        <w:t xml:space="preserve">. – 34).</w:t>
      </w:r>
    </w:p>
    <w:p>
      <w:pPr>
        <w:spacing w:line="276" w:lineRule="auto"/>
        <w:ind w:firstLine="709"/>
      </w:pPr>
      <w:r>
        <w:t xml:space="preserve">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pPr>
        <w:spacing w:line="276" w:lineRule="auto"/>
        <w:ind w:firstLine="709"/>
      </w:pPr>
      <w:r>
        <w:t xml:space="preserve">Вместе с тем, в течение 2025 года к уголовной ответственности за совершение преступлений в сфере НОН привлечено 36 (-50%, </w:t>
      </w:r>
      <w:r>
        <w:t xml:space="preserve">п.г</w:t>
      </w:r>
      <w:r>
        <w:t xml:space="preserve">. – 72) иностранцев, в том числе: Узбекистана – 15 (</w:t>
      </w:r>
      <w:r>
        <w:t xml:space="preserve">п.г</w:t>
      </w:r>
      <w:r>
        <w:t xml:space="preserve">. – 48), Белоруссии – 6 (</w:t>
      </w:r>
      <w:r>
        <w:t xml:space="preserve">п.г</w:t>
      </w:r>
      <w:r>
        <w:t xml:space="preserve">. – 5), Таджикистана – 4 (</w:t>
      </w:r>
      <w:r>
        <w:t xml:space="preserve">п.г</w:t>
      </w:r>
      <w:r>
        <w:t xml:space="preserve">. – 12), Киргизии – 3 (</w:t>
      </w:r>
      <w:r>
        <w:t xml:space="preserve">п.г</w:t>
      </w:r>
      <w:r>
        <w:t xml:space="preserve">. – 6), Азербайджана – 3 (</w:t>
      </w:r>
      <w:r>
        <w:t xml:space="preserve">п.г</w:t>
      </w:r>
      <w:r>
        <w:t xml:space="preserve">. – 1), Казахстана – 4 (</w:t>
      </w:r>
      <w:r>
        <w:t xml:space="preserve">п.г</w:t>
      </w:r>
      <w:r>
        <w:t xml:space="preserve">. – 0) и Армении – 1 (</w:t>
      </w:r>
      <w:r>
        <w:t xml:space="preserve">п.г</w:t>
      </w:r>
      <w:r>
        <w:t xml:space="preserve">. – 0). Кроме того, к ответственности привлечено 2 лица без гражданства (</w:t>
      </w:r>
      <w:r>
        <w:t xml:space="preserve">п.г</w:t>
      </w:r>
      <w:r>
        <w:t xml:space="preserve">. – 1).</w:t>
      </w:r>
    </w:p>
    <w:p>
      <w:pPr>
        <w:spacing w:line="276" w:lineRule="auto"/>
        <w:ind w:firstLine="709"/>
      </w:pPr>
      <w:r>
        <w:t xml:space="preserve">Данные граждане составляют 6,4% (-3,1%, </w:t>
      </w:r>
      <w:r>
        <w:t xml:space="preserve">п.г</w:t>
      </w:r>
      <w:r>
        <w:t xml:space="preserve">. – 9,5%) от общего числа лиц, привлеченных к уголовной ответственности за совершение </w:t>
      </w:r>
      <w:r>
        <w:t xml:space="preserve">наркопреступлений</w:t>
      </w:r>
      <w:r>
        <w:t xml:space="preserve">.</w:t>
      </w:r>
    </w:p>
    <w:p>
      <w:pPr>
        <w:spacing w:line="276" w:lineRule="auto"/>
        <w:ind w:firstLine="709"/>
      </w:pPr>
      <w:r>
        <w:t xml:space="preserve">При этом, из общего числа привлеченных к уголовной ответственности за </w:t>
      </w:r>
      <w:r>
        <w:t xml:space="preserve">наркопреступления</w:t>
      </w:r>
      <w:r>
        <w:t xml:space="preserve"> иностранцев – 30 привлечены за сбыт (-55,2%, </w:t>
      </w:r>
      <w:r>
        <w:t xml:space="preserve">п.г</w:t>
      </w:r>
      <w:r>
        <w:t xml:space="preserve">. – 67) а также 1 лицо без гражданства (</w:t>
      </w:r>
      <w:r>
        <w:t xml:space="preserve">п.г</w:t>
      </w:r>
      <w:r>
        <w:t xml:space="preserve">. – 1).</w:t>
      </w:r>
    </w:p>
    <w:p>
      <w:pPr>
        <w:spacing w:line="276" w:lineRule="auto"/>
        <w:ind w:firstLine="709"/>
        <w:rPr>
          <w:i/>
          <w:sz w:val="24"/>
          <w:szCs w:val="24"/>
        </w:rPr>
      </w:pPr>
      <w:r>
        <w:rPr>
          <w:i/>
          <w:sz w:val="24"/>
          <w:szCs w:val="24"/>
        </w:rPr>
        <w:t xml:space="preserve">Справочно</w:t>
      </w:r>
      <w:r>
        <w:rPr>
          <w:i/>
          <w:sz w:val="24"/>
          <w:szCs w:val="24"/>
        </w:rPr>
        <w:t xml:space="preserve">: </w:t>
      </w:r>
      <w:r>
        <w:rPr>
          <w:i/>
          <w:sz w:val="24"/>
          <w:szCs w:val="24"/>
        </w:rPr>
        <w:t xml:space="preserve">В</w:t>
      </w:r>
      <w:r>
        <w:rPr>
          <w:i/>
          <w:sz w:val="24"/>
          <w:szCs w:val="24"/>
        </w:rPr>
        <w:t xml:space="preserve"> течение 2025 года на территории округа за незаконный сбыт наркотиков задержан 35 иностранных граждан (+12,9%, </w:t>
      </w:r>
      <w:r>
        <w:rPr>
          <w:i/>
          <w:sz w:val="24"/>
          <w:szCs w:val="24"/>
        </w:rPr>
        <w:t xml:space="preserve">п.г</w:t>
      </w:r>
      <w:r>
        <w:rPr>
          <w:i/>
          <w:sz w:val="24"/>
          <w:szCs w:val="24"/>
        </w:rPr>
        <w:t xml:space="preserve">. – 31), в том числе </w:t>
      </w:r>
      <w:r>
        <w:rPr>
          <w:i/>
          <w:sz w:val="24"/>
          <w:szCs w:val="24"/>
        </w:rPr>
        <w:t xml:space="preserve">завербованные для работы на Интернет-магазины, у которых в общей сложности изъято 4 кг 80 грамм наркотиков (</w:t>
      </w:r>
      <w:r>
        <w:rPr>
          <w:i/>
          <w:sz w:val="24"/>
          <w:szCs w:val="24"/>
        </w:rPr>
        <w:t xml:space="preserve">п.г</w:t>
      </w:r>
      <w:r>
        <w:rPr>
          <w:i/>
          <w:sz w:val="24"/>
          <w:szCs w:val="24"/>
        </w:rPr>
        <w:t xml:space="preserve">. – 7 кг 005 грамм).</w:t>
      </w:r>
      <w:r>
        <w:rPr>
          <w:i/>
          <w:sz w:val="24"/>
          <w:szCs w:val="24"/>
        </w:rPr>
      </w:r>
    </w:p>
    <w:p>
      <w:pPr>
        <w:spacing w:line="276" w:lineRule="auto"/>
        <w:ind w:firstLine="709"/>
        <w:rPr>
          <w:i/>
          <w:sz w:val="24"/>
          <w:szCs w:val="24"/>
        </w:rPr>
      </w:pPr>
      <w:r>
        <w:rPr>
          <w:i/>
          <w:sz w:val="24"/>
          <w:szCs w:val="24"/>
        </w:rPr>
        <w:t xml:space="preserve">Из общего количества задержанных иностранцев: 22 гражданина Узбекистана (</w:t>
      </w:r>
      <w:r>
        <w:rPr>
          <w:i/>
          <w:sz w:val="24"/>
          <w:szCs w:val="24"/>
        </w:rPr>
        <w:t xml:space="preserve">п.г</w:t>
      </w:r>
      <w:r>
        <w:rPr>
          <w:i/>
          <w:sz w:val="24"/>
          <w:szCs w:val="24"/>
        </w:rPr>
        <w:t xml:space="preserve">. – 15), 8 граждан Таджикистана (</w:t>
      </w:r>
      <w:r>
        <w:rPr>
          <w:i/>
          <w:sz w:val="24"/>
          <w:szCs w:val="24"/>
        </w:rPr>
        <w:t xml:space="preserve">п.г</w:t>
      </w:r>
      <w:r>
        <w:rPr>
          <w:i/>
          <w:sz w:val="24"/>
          <w:szCs w:val="24"/>
        </w:rPr>
        <w:t xml:space="preserve">. – 6), 2 гражданина Беларуси (</w:t>
      </w:r>
      <w:r>
        <w:rPr>
          <w:i/>
          <w:sz w:val="24"/>
          <w:szCs w:val="24"/>
        </w:rPr>
        <w:t xml:space="preserve">п.г</w:t>
      </w:r>
      <w:r>
        <w:rPr>
          <w:i/>
          <w:sz w:val="24"/>
          <w:szCs w:val="24"/>
        </w:rPr>
        <w:t xml:space="preserve">. – 9), 2 гражданина Азербайджана (</w:t>
      </w:r>
      <w:r>
        <w:rPr>
          <w:i/>
          <w:sz w:val="24"/>
          <w:szCs w:val="24"/>
        </w:rPr>
        <w:t xml:space="preserve">п.г</w:t>
      </w:r>
      <w:r>
        <w:rPr>
          <w:i/>
          <w:sz w:val="24"/>
          <w:szCs w:val="24"/>
        </w:rPr>
        <w:t xml:space="preserve">. – 3), 1 гражданин Кыргызстана (</w:t>
      </w:r>
      <w:r>
        <w:rPr>
          <w:i/>
          <w:sz w:val="24"/>
          <w:szCs w:val="24"/>
        </w:rPr>
        <w:t xml:space="preserve">п.г</w:t>
      </w:r>
      <w:r>
        <w:rPr>
          <w:i/>
          <w:sz w:val="24"/>
          <w:szCs w:val="24"/>
        </w:rPr>
        <w:t xml:space="preserve">. – 2), 1 гражданин Армении (</w:t>
      </w:r>
      <w:r>
        <w:rPr>
          <w:i/>
          <w:sz w:val="24"/>
          <w:szCs w:val="24"/>
        </w:rPr>
        <w:t xml:space="preserve">п.г</w:t>
      </w:r>
      <w:r>
        <w:rPr>
          <w:i/>
          <w:sz w:val="24"/>
          <w:szCs w:val="24"/>
        </w:rPr>
        <w:t xml:space="preserve">. – 0) и 1 гражданин ЮАР (</w:t>
      </w:r>
      <w:r>
        <w:rPr>
          <w:i/>
          <w:sz w:val="24"/>
          <w:szCs w:val="24"/>
        </w:rPr>
        <w:t xml:space="preserve">п.г</w:t>
      </w:r>
      <w:r>
        <w:rPr>
          <w:i/>
          <w:sz w:val="24"/>
          <w:szCs w:val="24"/>
        </w:rPr>
        <w:t xml:space="preserve">. – 0).</w:t>
      </w:r>
      <w:r>
        <w:rPr>
          <w:i/>
          <w:sz w:val="24"/>
          <w:szCs w:val="24"/>
        </w:rPr>
      </w:r>
    </w:p>
    <w:p>
      <w:pPr>
        <w:spacing w:line="276" w:lineRule="auto"/>
        <w:ind w:firstLine="709"/>
      </w:pPr>
      <w:r>
        <w:t xml:space="preserve">Основными центрами реализации наркотических средств среди иностранных граждан являлись города Сургут, Нижневартовск и Ханты-Мансийск. </w:t>
      </w:r>
    </w:p>
    <w:p>
      <w:pPr>
        <w:spacing w:line="276" w:lineRule="auto"/>
        <w:ind w:firstLine="709"/>
      </w:pPr>
      <w:r>
        <w:t xml:space="preserve">В связи с проявлением криминальной активности н</w:t>
      </w:r>
      <w:r>
        <w:t xml:space="preserve">а территории автономного округа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pPr>
        <w:spacing w:line="276" w:lineRule="auto"/>
        <w:ind w:firstLine="709"/>
      </w:pPr>
      <w:r>
        <w:t xml:space="preserve">В целях недопущения нахождения на территории Российской Федерации иностранных граждан и лиц без гражданства, причастных к незаконному обороту наркотиков, в течение 12 месяцев 2025 года У</w:t>
      </w:r>
      <w:r>
        <w:t xml:space="preserve">НК УМВД России по округу в порядке ст. 27 Федерального закона от 15.08.1996 № 114-ФЗ «О порядке выезда из Российской Федерации и въезда в Российскую Федерацию» инициировано вынесение решений о не разрешении въезда в РФ, в отношении 64 иностранных граждан (</w:t>
      </w:r>
      <w:r>
        <w:t xml:space="preserve">п.г</w:t>
      </w:r>
      <w:r>
        <w:t xml:space="preserve">. – 10).</w:t>
      </w:r>
    </w:p>
    <w:p>
      <w:pPr>
        <w:pStyle w:val="1711"/>
        <w:spacing w:line="276" w:lineRule="auto"/>
        <w:ind w:firstLine="709"/>
        <w:rPr>
          <w:rFonts w:cs="Times New Roman"/>
          <w:i/>
          <w:sz w:val="24"/>
          <w:szCs w:val="24"/>
          <w:lang w:eastAsia="ru-RU"/>
        </w:rPr>
      </w:pPr>
      <w:r>
        <w:rPr>
          <w:rFonts w:cs="Times New Roman"/>
          <w:i/>
          <w:sz w:val="24"/>
          <w:szCs w:val="24"/>
          <w:lang w:eastAsia="ru-RU"/>
        </w:rPr>
        <w:t xml:space="preserve">Справочно</w:t>
      </w:r>
      <w:r>
        <w:rPr>
          <w:rFonts w:cs="Times New Roman"/>
          <w:i/>
          <w:sz w:val="24"/>
          <w:szCs w:val="24"/>
          <w:lang w:eastAsia="ru-RU"/>
        </w:rPr>
        <w:t xml:space="preserve">: 63 решения на основании пунк</w:t>
      </w:r>
      <w:r>
        <w:rPr>
          <w:rFonts w:cs="Times New Roman"/>
          <w:i/>
          <w:sz w:val="24"/>
          <w:szCs w:val="24"/>
          <w:lang w:eastAsia="ru-RU"/>
        </w:rPr>
        <w:t xml:space="preserve">та 1 части 1 статьи 27 Федерального закона от 15 августа 1996 года № 114-ФЗ «О порядке выезда из Российской Федерации и въезда в Российскую Федерацию» и 1 решение на основании пункта 3 части 1 статьи 27 Федерального закона от 15 августа 1996 года № 114-ФЗ.</w:t>
      </w:r>
      <w:r>
        <w:rPr>
          <w:rFonts w:cs="Times New Roman"/>
          <w:i/>
          <w:sz w:val="24"/>
          <w:szCs w:val="24"/>
          <w:lang w:eastAsia="ru-RU"/>
        </w:rPr>
      </w:r>
    </w:p>
    <w:p>
      <w:pPr>
        <w:spacing w:line="276" w:lineRule="auto"/>
        <w:ind w:firstLine="709"/>
      </w:pPr>
      <w:r>
        <w:t xml:space="preserve">Продолжена реализация мер, направлен</w:t>
      </w:r>
      <w:r>
        <w:t xml:space="preserve">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и АО «Почта России», в рамках которого осуществляются мероприятия по выявлению фактов поставок </w:t>
      </w:r>
      <w:r>
        <w:t xml:space="preserve">прекурсоров</w:t>
      </w:r>
      <w:r>
        <w:t xml:space="preserve"> наркотических средств, химических реактивов и оборудования, используемых для изготовления наркотиков в лабораторных условиях. </w:t>
      </w:r>
    </w:p>
    <w:p>
      <w:pPr>
        <w:spacing w:line="276" w:lineRule="auto"/>
        <w:ind w:firstLine="709"/>
      </w:pPr>
      <w:r>
        <w:t xml:space="preserve">В рамках работы по данному направлению, задокументировано 4 факта производства наркотиков в лабораторных условиях (УМВД </w:t>
      </w:r>
      <w:r>
        <w:t xml:space="preserve">– 3, ФСБ – 1), в том числе 2 факта производства на территории Югры и 2 факта на территории других регионов страны (Иркутской области и Республики Башкортостан). Изготавливаемые наркотики предназначались для незаконного сбыта в том числе на территории Югры.</w:t>
      </w:r>
    </w:p>
    <w:p>
      <w:pPr>
        <w:spacing w:line="276" w:lineRule="auto"/>
        <w:ind w:firstLine="709"/>
      </w:pPr>
      <w:r>
        <w:t xml:space="preserve">Несмотря на то, что Югра не является приграничным регионом, в целях профилактики и п</w:t>
      </w:r>
      <w:r>
        <w:t xml:space="preserve">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w:t>
      </w:r>
      <w:r>
        <w:t xml:space="preserve">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 для проведения последующих упреждающих мероприятий с Уральским таможенным управлением ФТС России.</w:t>
      </w:r>
    </w:p>
    <w:p>
      <w:pPr>
        <w:spacing w:line="276" w:lineRule="auto"/>
        <w:ind w:firstLine="709"/>
      </w:pPr>
      <w:r>
        <w:t xml:space="preserve">По результатам проводимых совместных оперативно-розыскных мероприятий выявлено 3 факта (</w:t>
      </w:r>
      <w:r>
        <w:t xml:space="preserve">п.г</w:t>
      </w:r>
      <w:r>
        <w:t xml:space="preserve">. – 7) контрабанды сильнодействующих веществ из Казахстана, и Индии, общей массой 14,62 грамма. </w:t>
      </w:r>
    </w:p>
    <w:p>
      <w:pPr>
        <w:spacing w:line="276" w:lineRule="auto"/>
        <w:ind w:firstLine="709"/>
        <w:rPr>
          <w:i/>
          <w:sz w:val="24"/>
          <w:szCs w:val="24"/>
        </w:rPr>
      </w:pPr>
      <w:r>
        <w:rPr>
          <w:i/>
          <w:sz w:val="24"/>
          <w:szCs w:val="24"/>
        </w:rPr>
        <w:t xml:space="preserve">Справочно</w:t>
      </w:r>
      <w:r>
        <w:rPr>
          <w:i/>
          <w:sz w:val="24"/>
          <w:szCs w:val="24"/>
        </w:rPr>
        <w:t xml:space="preserve">: </w:t>
      </w:r>
      <w:r>
        <w:rPr>
          <w:i/>
          <w:sz w:val="24"/>
          <w:szCs w:val="24"/>
        </w:rPr>
      </w:r>
    </w:p>
    <w:p>
      <w:pPr>
        <w:pStyle w:val="1615"/>
        <w:spacing w:line="276" w:lineRule="auto"/>
        <w:ind w:left="0" w:firstLine="709"/>
        <w:rPr>
          <w:i/>
          <w:sz w:val="24"/>
          <w:szCs w:val="24"/>
        </w:rPr>
      </w:pPr>
      <w:r>
        <w:rPr>
          <w:i/>
          <w:sz w:val="24"/>
          <w:szCs w:val="24"/>
        </w:rPr>
        <w:t xml:space="preserve">1) </w:t>
      </w:r>
      <w:r>
        <w:rPr>
          <w:i/>
          <w:sz w:val="24"/>
          <w:szCs w:val="24"/>
        </w:rPr>
        <w:t xml:space="preserve">В</w:t>
      </w:r>
      <w:r>
        <w:rPr>
          <w:i/>
          <w:sz w:val="24"/>
          <w:szCs w:val="24"/>
        </w:rPr>
        <w:t xml:space="preserve"> феврале задокументирован факт контрабандной поставки сильнодействующего вещества – </w:t>
      </w:r>
      <w:r>
        <w:rPr>
          <w:i/>
          <w:sz w:val="24"/>
          <w:szCs w:val="24"/>
        </w:rPr>
        <w:t xml:space="preserve">соматотропин</w:t>
      </w:r>
      <w:r>
        <w:rPr>
          <w:i/>
          <w:sz w:val="24"/>
          <w:szCs w:val="24"/>
        </w:rPr>
        <w:t xml:space="preserve"> (гормон роста, СТГ), массой 5,2 грамма в г. Нижневартовск, посредством международного почтового отправления из Республики Казахстан. </w:t>
      </w:r>
      <w:r>
        <w:rPr>
          <w:i/>
          <w:sz w:val="24"/>
          <w:szCs w:val="24"/>
        </w:rPr>
      </w:r>
    </w:p>
    <w:p>
      <w:pPr>
        <w:pStyle w:val="1615"/>
        <w:spacing w:line="276" w:lineRule="auto"/>
        <w:ind w:left="0" w:firstLine="709"/>
        <w:rPr>
          <w:i/>
          <w:sz w:val="24"/>
          <w:szCs w:val="24"/>
        </w:rPr>
      </w:pPr>
      <w:r>
        <w:rPr>
          <w:i/>
          <w:sz w:val="24"/>
          <w:szCs w:val="24"/>
        </w:rPr>
        <w:t xml:space="preserve">2) </w:t>
      </w:r>
      <w:r>
        <w:rPr>
          <w:i/>
          <w:sz w:val="24"/>
          <w:szCs w:val="24"/>
        </w:rPr>
        <w:t xml:space="preserve">В</w:t>
      </w:r>
      <w:r>
        <w:rPr>
          <w:i/>
          <w:sz w:val="24"/>
          <w:szCs w:val="24"/>
        </w:rPr>
        <w:t xml:space="preserve"> августе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2,34 грамма на территорию Сургутского района, посредством международного почтового отправления из Республики Казахстан. </w:t>
      </w:r>
      <w:r>
        <w:rPr>
          <w:i/>
          <w:sz w:val="24"/>
          <w:szCs w:val="24"/>
        </w:rPr>
      </w:r>
    </w:p>
    <w:p>
      <w:pPr>
        <w:pStyle w:val="1615"/>
        <w:spacing w:line="276" w:lineRule="auto"/>
        <w:ind w:left="0" w:firstLine="709"/>
        <w:rPr>
          <w:i/>
          <w:sz w:val="24"/>
          <w:szCs w:val="24"/>
        </w:rPr>
      </w:pPr>
      <w:r>
        <w:rPr>
          <w:i/>
          <w:sz w:val="24"/>
          <w:szCs w:val="24"/>
        </w:rPr>
        <w:t xml:space="preserve">3) </w:t>
      </w:r>
      <w:r>
        <w:rPr>
          <w:i/>
          <w:sz w:val="24"/>
          <w:szCs w:val="24"/>
        </w:rPr>
        <w:t xml:space="preserve">В</w:t>
      </w:r>
      <w:r>
        <w:rPr>
          <w:i/>
          <w:sz w:val="24"/>
          <w:szCs w:val="24"/>
        </w:rPr>
        <w:t xml:space="preserve"> декабре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7,08 в г. Ханты-Мансийск, посредством международного почтового отправления из Индии. </w:t>
      </w:r>
      <w:r>
        <w:rPr>
          <w:i/>
          <w:sz w:val="24"/>
          <w:szCs w:val="24"/>
        </w:rPr>
      </w:r>
    </w:p>
    <w:p>
      <w:pPr>
        <w:pStyle w:val="1615"/>
        <w:spacing w:line="276" w:lineRule="auto"/>
        <w:ind w:left="0" w:firstLine="709"/>
        <w:rPr>
          <w:i/>
          <w:sz w:val="24"/>
          <w:szCs w:val="24"/>
        </w:rPr>
      </w:pPr>
      <w:r>
        <w:rPr>
          <w:i/>
          <w:sz w:val="24"/>
          <w:szCs w:val="24"/>
        </w:rPr>
        <w:t xml:space="preserve">По указанным фактам контрабанды возбуждено 3 уголовных дела по ст. 226.1 УК РФ.</w:t>
      </w:r>
      <w:r>
        <w:rPr>
          <w:i/>
          <w:sz w:val="24"/>
          <w:szCs w:val="24"/>
        </w:rPr>
      </w:r>
    </w:p>
    <w:p>
      <w:pPr>
        <w:spacing w:line="276" w:lineRule="auto"/>
        <w:ind w:firstLine="709"/>
      </w:pPr>
      <w:r>
        <w:t xml:space="preserve">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исправительных учреждения ФСИН:</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ФКУ ИК-11 УФСИН России по ХМАО-Югре в г. Сургуте, лимит наполнения составляет 1313 человек, за совершение преступлений в сфере НОН содержится 137 (-46,5%, </w:t>
      </w:r>
      <w:r>
        <w:rPr>
          <w:rFonts w:ascii="Times New Roman" w:hAnsi="Times New Roman" w:cs="Times New Roman"/>
          <w:sz w:val="28"/>
          <w:szCs w:val="28"/>
        </w:rPr>
        <w:t xml:space="preserve">п.г</w:t>
      </w:r>
      <w:r>
        <w:rPr>
          <w:rFonts w:ascii="Times New Roman" w:hAnsi="Times New Roman" w:cs="Times New Roman"/>
          <w:sz w:val="28"/>
          <w:szCs w:val="28"/>
        </w:rPr>
        <w:t xml:space="preserve">. – 256).</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ФКУ ИК-15 УФСИН России по ХМАО-Югре в г. Нижневартовске, лимит наполнения составляет 334 человека, за совершение преступлений в сфере НОН содержится 61 (+22%, </w:t>
      </w:r>
      <w:r>
        <w:rPr>
          <w:rFonts w:ascii="Times New Roman" w:hAnsi="Times New Roman" w:cs="Times New Roman"/>
          <w:sz w:val="28"/>
          <w:szCs w:val="28"/>
        </w:rPr>
        <w:t xml:space="preserve">п.г</w:t>
      </w:r>
      <w:r>
        <w:rPr>
          <w:rFonts w:ascii="Times New Roman" w:hAnsi="Times New Roman" w:cs="Times New Roman"/>
          <w:sz w:val="28"/>
          <w:szCs w:val="28"/>
        </w:rPr>
        <w:t xml:space="preserve">. – 50).</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ФКУ ЛИУ № 17 УФСИН России по ХМАО-Югре в г. Сургуте, лимит наполнения составляет 639 человек, за совершение преступлений в сфере НОН содержится 101 (+ в 4,5 раза, </w:t>
      </w:r>
      <w:r>
        <w:rPr>
          <w:rFonts w:ascii="Times New Roman" w:hAnsi="Times New Roman" w:cs="Times New Roman"/>
          <w:sz w:val="28"/>
          <w:szCs w:val="28"/>
        </w:rPr>
        <w:t xml:space="preserve">п.г</w:t>
      </w:r>
      <w:r>
        <w:rPr>
          <w:rFonts w:ascii="Times New Roman" w:hAnsi="Times New Roman" w:cs="Times New Roman"/>
          <w:sz w:val="28"/>
          <w:szCs w:val="28"/>
        </w:rPr>
        <w:t xml:space="preserve">. – 22).</w:t>
      </w:r>
      <w:r>
        <w:rPr>
          <w:rFonts w:ascii="Times New Roman" w:hAnsi="Times New Roman" w:cs="Times New Roman"/>
          <w:sz w:val="28"/>
          <w:szCs w:val="28"/>
        </w:rPr>
      </w:r>
    </w:p>
    <w:p>
      <w:pPr>
        <w:spacing w:line="276" w:lineRule="auto"/>
        <w:ind w:firstLine="709"/>
      </w:pPr>
      <w:r>
        <w:t xml:space="preserve">На конец 2025 года в исправительных учреждениях УФСИН России по ХМАО-Югре за совершение преступлений в сфере НОН содержалось 299 лиц (-8,6%, </w:t>
      </w:r>
      <w:r>
        <w:t xml:space="preserve">п.г</w:t>
      </w:r>
      <w:r>
        <w:t xml:space="preserve">. – 327).</w:t>
      </w:r>
    </w:p>
    <w:p>
      <w:pPr>
        <w:spacing w:line="276" w:lineRule="auto"/>
        <w:ind w:firstLine="709"/>
      </w:pPr>
      <w:r>
        <w:t xml:space="preserve">Кроме того, в ФКУ СИЗО-1 УФСИН России по ХМАО-Югре в</w:t>
      </w:r>
      <w:r>
        <w:br/>
        <w:t xml:space="preserve">г. Нижневартовске, за совершение преступлений в сфере НОН содержалось 128 человека (-22%, </w:t>
      </w:r>
      <w:r>
        <w:t xml:space="preserve">п.г</w:t>
      </w:r>
      <w:r>
        <w:t xml:space="preserve">. – 164).</w:t>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п</w:t>
      </w:r>
      <w:r>
        <w:rPr>
          <w:rFonts w:ascii="Times New Roman" w:hAnsi="Times New Roman" w:cs="Times New Roman"/>
          <w:sz w:val="28"/>
          <w:szCs w:val="28"/>
        </w:rPr>
        <w:t xml:space="preserve">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 В этих целях обеспечено взаимодействие и обмен информацией с учреждениями уголо</w:t>
      </w:r>
      <w:r>
        <w:rPr>
          <w:rFonts w:ascii="Times New Roman" w:hAnsi="Times New Roman" w:cs="Times New Roman"/>
          <w:sz w:val="28"/>
          <w:szCs w:val="28"/>
        </w:rPr>
        <w:t xml:space="preserve">вно-исполнительной системы, проведены совместные совещания, на которых выработаны необходимые оперативные меры. Взаимодействие оперативных подразделений УМВД России по ХМАО-Югре с УФСИН России по данному округу осуществляется в соответствии с требованиями:</w:t>
      </w:r>
      <w:r>
        <w:rPr>
          <w:rFonts w:ascii="Times New Roman" w:hAnsi="Times New Roman" w:cs="Times New Roman"/>
          <w:sz w:val="28"/>
          <w:szCs w:val="28"/>
        </w:rPr>
      </w:r>
    </w:p>
    <w:p>
      <w:pPr>
        <w:spacing w:line="276" w:lineRule="auto"/>
        <w:ind w:firstLine="709"/>
      </w:pPr>
      <w:r>
        <w:t xml:space="preserve">- приказа МВД Рос</w:t>
      </w:r>
      <w:r>
        <w:t xml:space="preserve">сии и ФСИН России от 02.06.2014 № 039/012 «О мерах по совершенствованию взаимодействия оперативных подразделений органов МВД России на региональном уровне и оперативных подразделений УФСИН России по субъектам Российской Федерации, следственных изоляторов»;</w:t>
      </w:r>
    </w:p>
    <w:p>
      <w:pPr>
        <w:spacing w:line="276" w:lineRule="auto"/>
        <w:ind w:firstLine="709"/>
      </w:pPr>
      <w:r>
        <w:t xml:space="preserve">- приказа МВД Р</w:t>
      </w:r>
      <w:r>
        <w:t xml:space="preserve">оссии и МЮ России от 11.09.1998 № 0010/4сс «Об организации взаимодействия органов внутренних дел Российской Федерации и учреждений органов уголовно-исполнительной системы Министерства юстиции Российской Федерации в сфере оперативно-розыскной деятельности»;</w:t>
      </w:r>
    </w:p>
    <w:p>
      <w:pPr>
        <w:spacing w:line="276" w:lineRule="auto"/>
        <w:ind w:firstLine="709"/>
      </w:pPr>
      <w:r>
        <w:t xml:space="preserve">- 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2025 год № 1/137с от 24.01.2025.</w:t>
      </w:r>
    </w:p>
    <w:p>
      <w:pPr>
        <w:spacing w:line="276" w:lineRule="auto"/>
        <w:ind w:firstLine="709"/>
      </w:pPr>
      <w:r>
        <w:t xml:space="preserve">В 2025 году в результате проведения совместных разработок в рамках ОРД с УФСИН России по округу пресечено 7 попыток поставок наркотических средств в учреждения УИС (</w:t>
      </w:r>
      <w:r>
        <w:t xml:space="preserve">п.г</w:t>
      </w:r>
      <w:r>
        <w:t xml:space="preserve">. – 4), зарегистрировано и возбуждено 8 уголовных дел (</w:t>
      </w:r>
      <w:r>
        <w:t xml:space="preserve">п.г</w:t>
      </w:r>
      <w:r>
        <w:t xml:space="preserve">. – 4). Общая масса изъятых по данным фактам запрещённых веществ составила 27,11 грамма (</w:t>
      </w:r>
      <w:r>
        <w:t xml:space="preserve">п.г</w:t>
      </w:r>
      <w:r>
        <w:t xml:space="preserve">. – 666,29 грамма).</w:t>
      </w:r>
    </w:p>
    <w:p>
      <w:pPr>
        <w:spacing w:line="276" w:lineRule="auto"/>
        <w:ind w:firstLine="709"/>
      </w:pPr>
      <w:r>
        <w:t xml:space="preserve">Неотъемлемым элементом профилактики </w:t>
      </w:r>
      <w:r>
        <w:t xml:space="preserve">наркопреступности</w:t>
      </w:r>
      <w:r>
        <w:t xml:space="preserve"> остается работа по выявлению и пресечению административных правонарушений, связанных с незаконным оборотом наркотиков.</w:t>
      </w:r>
    </w:p>
    <w:p>
      <w:pPr>
        <w:spacing w:line="276" w:lineRule="auto"/>
        <w:ind w:firstLine="709"/>
        <w:rPr>
          <w:highlight w:val="yellow"/>
        </w:rPr>
      </w:pPr>
      <w:r>
        <w:rPr>
          <w:highlight w:val="white"/>
        </w:rPr>
        <w:t xml:space="preserve">В 2025 году органами внутренних дел округа </w:t>
      </w:r>
      <w:r>
        <w:rPr>
          <w:rStyle w:val="1621"/>
          <w:rFonts w:ascii="Times New Roman" w:hAnsi="Times New Roman"/>
          <w:sz w:val="28"/>
          <w:highlight w:val="white"/>
        </w:rPr>
        <w:t xml:space="preserve">в качестве превентивных мер </w:t>
      </w:r>
      <w:r>
        <w:rPr>
          <w:highlight w:val="white"/>
        </w:rPr>
        <w:t xml:space="preserve">пресечено 2010 (-15,8%, </w:t>
      </w:r>
      <w:r>
        <w:rPr>
          <w:highlight w:val="white"/>
        </w:rPr>
        <w:t xml:space="preserve">п.г</w:t>
      </w:r>
      <w:r>
        <w:rPr>
          <w:highlight w:val="white"/>
        </w:rPr>
        <w:t xml:space="preserve">. – 2388) административных правонарушений, в том числе:</w:t>
      </w:r>
      <w:r>
        <w:rPr>
          <w:highlight w:val="yellow"/>
        </w:rPr>
      </w:r>
    </w:p>
    <w:p>
      <w:pPr>
        <w:spacing w:line="276" w:lineRule="auto"/>
        <w:ind w:firstLine="709"/>
      </w:pPr>
      <w:r>
        <w:t xml:space="preserve">- по ст. 6.8 КоАП РФ (хранение наркотиков) – 87 (-13,9%, </w:t>
      </w:r>
      <w:r>
        <w:t xml:space="preserve">п.г</w:t>
      </w:r>
      <w:r>
        <w:t xml:space="preserve">. – 101) правонарушение;</w:t>
      </w:r>
    </w:p>
    <w:p>
      <w:pPr>
        <w:spacing w:line="276" w:lineRule="auto"/>
        <w:ind w:firstLine="709"/>
      </w:pPr>
      <w:r>
        <w:t xml:space="preserve">- по ст. 6.9 КоАП РФ (потребление наркотиков) – 1538 (-12,8%, </w:t>
      </w:r>
      <w:r>
        <w:t xml:space="preserve">п.г</w:t>
      </w:r>
      <w:r>
        <w:t xml:space="preserve">. – 1764) правонарушения;</w:t>
      </w:r>
    </w:p>
    <w:p>
      <w:pPr>
        <w:spacing w:line="276" w:lineRule="auto"/>
        <w:ind w:firstLine="709"/>
      </w:pPr>
      <w:r>
        <w:t xml:space="preserve">- по ст. 6.13 КоАП РФ (пропаганда наркотических средств) – 31 (-22,5%, </w:t>
      </w:r>
      <w:r>
        <w:t xml:space="preserve">п.г</w:t>
      </w:r>
      <w:r>
        <w:t xml:space="preserve">. – 40) правонарушений;</w:t>
      </w:r>
    </w:p>
    <w:p>
      <w:pPr>
        <w:spacing w:line="276" w:lineRule="auto"/>
        <w:ind w:firstLine="709"/>
      </w:pPr>
      <w:r>
        <w:t xml:space="preserve">- по ст. 6.16 КоАП РФ (нарушение правил оборота наркотических средств) – 0 (-100%, </w:t>
      </w:r>
      <w:r>
        <w:t xml:space="preserve">п.г</w:t>
      </w:r>
      <w:r>
        <w:t xml:space="preserve">. – 1) правонарушение;</w:t>
      </w:r>
    </w:p>
    <w:p>
      <w:pPr>
        <w:spacing w:line="276" w:lineRule="auto"/>
        <w:ind w:firstLine="709"/>
      </w:pPr>
      <w:r>
        <w:t xml:space="preserve">- по ст. 6.16.1 КоАП РФ (незаконные приобретение, хранение, перевозка, производство, сбыт или пересылка </w:t>
      </w:r>
      <w:r>
        <w:t xml:space="preserve">прекурсоров</w:t>
      </w:r>
      <w:r>
        <w:t xml:space="preserve">) – 3 (+100%, </w:t>
      </w:r>
      <w:r>
        <w:t xml:space="preserve">п.г</w:t>
      </w:r>
      <w:r>
        <w:t xml:space="preserve">. – 0) правонарушение;</w:t>
      </w:r>
    </w:p>
    <w:p>
      <w:pPr>
        <w:spacing w:line="276" w:lineRule="auto"/>
        <w:ind w:firstLine="709"/>
      </w:pPr>
      <w:r>
        <w:t xml:space="preserve">- по ст. 10.5.1 КоАП РФ (незаконное культивирование </w:t>
      </w:r>
      <w:r>
        <w:t xml:space="preserve">наркосодержащих</w:t>
      </w:r>
      <w:r>
        <w:t xml:space="preserve"> растений) – 7 (+133,3%, </w:t>
      </w:r>
      <w:r>
        <w:t xml:space="preserve">п.г</w:t>
      </w:r>
      <w:r>
        <w:t xml:space="preserve">. – 3) правонарушения; </w:t>
      </w:r>
    </w:p>
    <w:p>
      <w:pPr>
        <w:spacing w:line="276" w:lineRule="auto"/>
        <w:ind w:firstLine="709"/>
      </w:pPr>
      <w:r>
        <w:t xml:space="preserve">- по ст. 12.8 ч. 1, 3 КоАП РФ (управление транспортным средством водителем, находящимся в состоянии опьянения (наркотического) – 133 (-27,3%, </w:t>
      </w:r>
      <w:r>
        <w:t xml:space="preserve">п.г</w:t>
      </w:r>
      <w:r>
        <w:t xml:space="preserve">. – 183) правонарушения; </w:t>
      </w:r>
    </w:p>
    <w:p>
      <w:pPr>
        <w:spacing w:line="276" w:lineRule="auto"/>
        <w:ind w:firstLine="709"/>
      </w:pPr>
      <w:r>
        <w:t xml:space="preserve">- по ст. 20.20 </w:t>
      </w:r>
      <w:r>
        <w:t xml:space="preserve">ч.ч</w:t>
      </w:r>
      <w:r>
        <w:t xml:space="preserve">. 2,3 КоАП РФ (потребление НС и ПВ в общественных местах) – 28 (-45,1%, </w:t>
      </w:r>
      <w:r>
        <w:t xml:space="preserve">п.г</w:t>
      </w:r>
      <w:r>
        <w:t xml:space="preserve">. – 51) правонарушение;</w:t>
      </w:r>
    </w:p>
    <w:p>
      <w:pPr>
        <w:spacing w:line="276" w:lineRule="auto"/>
        <w:ind w:firstLine="709"/>
      </w:pPr>
      <w:r>
        <w:t xml:space="preserve">- по ст. 20.21 КоАП РФ (появление в общественных местах в состоянии опьянения) – 1 (+100%, </w:t>
      </w:r>
      <w:r>
        <w:t xml:space="preserve">п.г</w:t>
      </w:r>
      <w:r>
        <w:t xml:space="preserve">. – 0) правонарушение;</w:t>
      </w:r>
    </w:p>
    <w:p>
      <w:pPr>
        <w:spacing w:line="276" w:lineRule="auto"/>
        <w:ind w:firstLine="709"/>
      </w:pPr>
      <w:r>
        <w:t xml:space="preserve">- по ст. 20.22 КоАП РФ (нахождение в состоянии опьянения (наркотического) несовершеннолетнего) – 0 (-100%, </w:t>
      </w:r>
      <w:r>
        <w:t xml:space="preserve">п.г</w:t>
      </w:r>
      <w:r>
        <w:t xml:space="preserve">. – 9) правонарушений.</w:t>
      </w:r>
    </w:p>
    <w:p>
      <w:pPr>
        <w:spacing w:line="276" w:lineRule="auto"/>
        <w:ind w:firstLine="709"/>
      </w:pPr>
      <w:r>
        <w:t xml:space="preserve">Важной составляющей оперативно-служебной деятельности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25.11.2013 </w:t>
      </w:r>
      <w:r>
        <w:br/>
        <w:t xml:space="preserve">№ 313-ФЗ в части, касающейся рассмотрения судом дел об административных право</w:t>
      </w:r>
      <w:r>
        <w:t xml:space="preserve">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pPr>
        <w:spacing w:line="276" w:lineRule="auto"/>
        <w:ind w:firstLine="709"/>
      </w:pPr>
      <w:r>
        <w:t xml:space="preserve">По состоянию на 31.12.2025 в УМВД России по Ханты-Мансийскому автономному округу – Югре на учете с возложенной судьей обязанностью пройт</w:t>
      </w:r>
      <w:r>
        <w:t xml:space="preserve">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w:t>
      </w:r>
      <w:r>
        <w:t xml:space="preserve">веществ  состоит</w:t>
      </w:r>
      <w:r>
        <w:t xml:space="preserve"> 535 лиц (-20%, </w:t>
      </w:r>
      <w:r>
        <w:t xml:space="preserve">п.г</w:t>
      </w:r>
      <w:r>
        <w:t xml:space="preserve">. – 668). </w:t>
      </w:r>
    </w:p>
    <w:p>
      <w:pPr>
        <w:spacing w:line="276" w:lineRule="auto"/>
        <w:ind w:firstLine="709"/>
      </w:pPr>
      <w:r>
        <w:t xml:space="preserve">Исполняют возложенную судьей обязанность – 133 лица (</w:t>
      </w:r>
      <w:r>
        <w:t xml:space="preserve">п.г</w:t>
      </w:r>
      <w:r>
        <w:t xml:space="preserve">. – 138), из них содержатся в местах лишения свободы и СИЗО – 2 (</w:t>
      </w:r>
      <w:r>
        <w:t xml:space="preserve">п.г</w:t>
      </w:r>
      <w:r>
        <w:t xml:space="preserve">. – 7), уклоняются от исполнения обязанностей – 402 лица (</w:t>
      </w:r>
      <w:r>
        <w:t xml:space="preserve">п.г</w:t>
      </w:r>
      <w:r>
        <w:t xml:space="preserve">. – 530), в том числе не исполняющих обязанность по независящим от них обстоятельствам: содержатся в местах лишения свободы и СИЗО – 44 (</w:t>
      </w:r>
      <w:r>
        <w:t xml:space="preserve">п.г</w:t>
      </w:r>
      <w:r>
        <w:t xml:space="preserve">. – 61), находятся в зоне СВО – 34 (</w:t>
      </w:r>
      <w:r>
        <w:t xml:space="preserve">п.г</w:t>
      </w:r>
      <w:r>
        <w:t xml:space="preserve">. – 44). </w:t>
      </w:r>
    </w:p>
    <w:p>
      <w:pPr>
        <w:spacing w:line="276" w:lineRule="auto"/>
        <w:ind w:firstLine="709"/>
      </w:pPr>
      <w:r>
        <w:t xml:space="preserve">В течение 2025 года поставлено на учет 425 лиц (</w:t>
      </w:r>
      <w:r>
        <w:t xml:space="preserve">п.г</w:t>
      </w:r>
      <w:r>
        <w:t xml:space="preserve">. – 458). Снято с учета 538 лиц (</w:t>
      </w:r>
      <w:r>
        <w:t xml:space="preserve">п.г</w:t>
      </w:r>
      <w:r>
        <w:t xml:space="preserve">. – 564), из них в связи с завершением лицом исполнения возложенной судом обязанности – 231 (</w:t>
      </w:r>
      <w:r>
        <w:t xml:space="preserve">п.г</w:t>
      </w:r>
      <w:r>
        <w:t xml:space="preserve">. – 254), в связи с решением судьи об отмене исполнения обязанности по ходатайству ОВД – 297 (</w:t>
      </w:r>
      <w:r>
        <w:t xml:space="preserve">п.г</w:t>
      </w:r>
      <w:r>
        <w:t xml:space="preserve">. – 270), в связи со смертью – 10 (</w:t>
      </w:r>
      <w:r>
        <w:t xml:space="preserve">п.г</w:t>
      </w:r>
      <w:r>
        <w:t xml:space="preserve">. – 33).</w:t>
      </w:r>
    </w:p>
    <w:p>
      <w:pPr>
        <w:spacing w:line="276" w:lineRule="auto"/>
        <w:ind w:firstLine="709"/>
      </w:pPr>
      <w:r>
        <w:t xml:space="preserve">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возложенной судьей обязанности), составлено 182 протокола (-23%, </w:t>
      </w:r>
      <w:r>
        <w:t xml:space="preserve">п.г</w:t>
      </w:r>
      <w:r>
        <w:t xml:space="preserve">. – 236), к административной ответственности привлечено 144 лица (-18%, </w:t>
      </w:r>
      <w:r>
        <w:t xml:space="preserve">п.г</w:t>
      </w:r>
      <w:r>
        <w:t xml:space="preserve">. – 176).</w:t>
      </w:r>
    </w:p>
    <w:p>
      <w:pPr>
        <w:spacing w:line="276" w:lineRule="auto"/>
        <w:ind w:firstLine="709"/>
      </w:pPr>
      <w:r>
        <w:t xml:space="preserve">На конец 2025 года на учете осталось 58 (</w:t>
      </w:r>
      <w:r>
        <w:t xml:space="preserve">п.г</w:t>
      </w:r>
      <w:r>
        <w:t xml:space="preserve">. – 83) не привлеченных, уклоняющихся от возложенной обязанности лиц, у которых срок привлечения не истек и 131 уклоняющееся лицо, привлечь которое уже не представится возможным, в связи с истечением сроков давности, из них 51 лицо состоит свыше двух лет.</w:t>
      </w:r>
    </w:p>
    <w:p>
      <w:pPr>
        <w:spacing w:line="276" w:lineRule="auto"/>
        <w:ind w:firstLine="709"/>
      </w:pPr>
      <w:r>
        <w:t xml:space="preserve">На постоянной основе осуществляется деятельность, направленная на выявление лиц, допускающих незаконное потребление наркотиче</w:t>
      </w:r>
      <w:r>
        <w:t xml:space="preserve">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w:t>
      </w:r>
    </w:p>
    <w:p>
      <w:pPr>
        <w:spacing w:line="276" w:lineRule="auto"/>
        <w:ind w:firstLine="709"/>
      </w:pPr>
      <w:r>
        <w:t xml:space="preserve">В рамках данной работы с лицами, состоящими на профилактических учетах, УУП и ОДН ведется индивидуально-профилактическая работа, организуются профилактические беседы о важности прохождения курса </w:t>
      </w:r>
      <w:r>
        <w:t xml:space="preserve">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pPr>
        <w:spacing w:line="276" w:lineRule="auto"/>
        <w:ind w:firstLine="709"/>
      </w:pPr>
      <w:r>
        <w:t xml:space="preserve">На списочном учете в ОВД по категории «лица больные наркоманией, состоящие на учете в медицинской организации и представляющие опасность для окружающих» состояло 5 (-58,3%, </w:t>
      </w:r>
      <w:r>
        <w:t xml:space="preserve">п.г</w:t>
      </w:r>
      <w:r>
        <w:t xml:space="preserve">. – 12) человек, в отношении данных граждан сотрудниками УУП организована индивидуально-профилактическая работа.</w:t>
      </w:r>
    </w:p>
    <w:p>
      <w:pPr>
        <w:spacing w:line="276" w:lineRule="auto"/>
        <w:ind w:firstLine="709"/>
        <w:rPr>
          <w:rFonts w:eastAsia="TimesNewRomanPSMT"/>
          <w:highlight w:val="white"/>
        </w:rPr>
      </w:pPr>
      <w:r>
        <w:rPr>
          <w:highlight w:val="white"/>
        </w:rPr>
        <w:t xml:space="preserve">В отношении указанной категории граждан </w:t>
      </w:r>
      <w:r>
        <w:rPr>
          <w:rFonts w:eastAsia="TimesNewRomanPSMT"/>
          <w:highlight w:val="white"/>
        </w:rPr>
        <w:t xml:space="preserve">участковыми уполномоченными полиции проведено 196 проверок (</w:t>
      </w:r>
      <w:r>
        <w:rPr>
          <w:rFonts w:eastAsia="TimesNewRomanPSMT"/>
          <w:highlight w:val="white"/>
        </w:rPr>
        <w:t xml:space="preserve">п.г</w:t>
      </w:r>
      <w:r>
        <w:rPr>
          <w:rFonts w:eastAsia="TimesNewRomanPSMT"/>
          <w:highlight w:val="white"/>
        </w:rPr>
        <w:t xml:space="preserve">. – 352), в ходе которых проведены профилакти</w:t>
      </w:r>
      <w:r>
        <w:rPr>
          <w:rFonts w:eastAsia="TimesNewRomanPSMT"/>
          <w:highlight w:val="white"/>
        </w:rPr>
        <w:t xml:space="preserve">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r>
        <w:rPr>
          <w:rFonts w:eastAsia="TimesNewRomanPSMT"/>
          <w:highlight w:val="white"/>
        </w:rPr>
      </w:r>
    </w:p>
    <w:p>
      <w:pPr>
        <w:spacing w:line="276" w:lineRule="auto"/>
        <w:ind w:firstLine="709"/>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w:t>
      </w:r>
      <w:r>
        <w:rPr>
          <w:rFonts w:eastAsia="TimesNewRomanPSMT"/>
        </w:rPr>
        <w:t xml:space="preserve">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тысяч (740798) квартир и домовладений (-6,7%, </w:t>
      </w:r>
      <w:r>
        <w:rPr>
          <w:rFonts w:eastAsia="TimesNewRomanPSMT"/>
        </w:rPr>
        <w:t xml:space="preserve">п.г</w:t>
      </w:r>
      <w:r>
        <w:rPr>
          <w:rFonts w:eastAsia="TimesNewRomanPSMT"/>
        </w:rPr>
        <w:t xml:space="preserve">. – 794057).</w:t>
      </w:r>
      <w:r>
        <w:rPr>
          <w:rFonts w:eastAsia="TimesNewRomanPSMT"/>
        </w:rPr>
      </w:r>
    </w:p>
    <w:p>
      <w:pPr>
        <w:spacing w:line="276" w:lineRule="auto"/>
        <w:ind w:firstLine="709"/>
        <w:rPr>
          <w:rFonts w:eastAsia="TimesNewRomanPSMT"/>
        </w:rPr>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r>
    </w:p>
    <w:p>
      <w:pPr>
        <w:spacing w:line="276" w:lineRule="auto"/>
        <w:ind w:firstLine="709"/>
      </w:pPr>
      <w:r>
        <w:t xml:space="preserve">На профилактическом учете ОДН территориальных органов внутренних дел состоит 1238 (</w:t>
      </w:r>
      <w:r>
        <w:t xml:space="preserve">п.г</w:t>
      </w:r>
      <w:r>
        <w:t xml:space="preserve">. – 1171) несовершеннолетних, из них: в связи с потреблением наркотических средств – 18 (</w:t>
      </w:r>
      <w:r>
        <w:t xml:space="preserve">п.г</w:t>
      </w:r>
      <w:r>
        <w:t xml:space="preserve">. – 19), в связи с потреблением токсических веществ – 14 (</w:t>
      </w:r>
      <w:r>
        <w:t xml:space="preserve">п.г</w:t>
      </w:r>
      <w:r>
        <w:t xml:space="preserve">. – 3).   </w:t>
      </w:r>
    </w:p>
    <w:p>
      <w:pPr>
        <w:spacing w:line="276" w:lineRule="auto"/>
        <w:ind w:firstLine="709"/>
      </w:pPr>
      <w:r>
        <w:t xml:space="preserve">В 2025 году на учет было поставлено 1285 (</w:t>
      </w:r>
      <w:r>
        <w:t xml:space="preserve">п.г</w:t>
      </w:r>
      <w:r>
        <w:t xml:space="preserve">. – 1282) подростка-правонарушителя, в том числе: в связи с потреблением наркотических средств – 13 (</w:t>
      </w:r>
      <w:r>
        <w:t xml:space="preserve">п.г</w:t>
      </w:r>
      <w:r>
        <w:t xml:space="preserve">. – 11), в связи с токсикоманией – 11 (</w:t>
      </w:r>
      <w:r>
        <w:t xml:space="preserve">п.г</w:t>
      </w:r>
      <w:r>
        <w:t xml:space="preserve">. – 5). </w:t>
      </w:r>
    </w:p>
    <w:p>
      <w:pPr>
        <w:spacing w:line="276" w:lineRule="auto"/>
        <w:ind w:firstLine="709"/>
        <w:rPr>
          <w:rFonts w:eastAsia="Arial Unicode MS"/>
        </w:rPr>
      </w:pPr>
      <w:r>
        <w:t xml:space="preserve">Кроме того, подраз</w:t>
      </w:r>
      <w:r>
        <w:t xml:space="preserve">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w:t>
      </w:r>
      <w:r>
        <w:t xml:space="preserve">течение 2025 года выявлен и поставлен на учет 602 (-9,9%, </w:t>
      </w:r>
      <w:r>
        <w:t xml:space="preserve">п.г</w:t>
      </w:r>
      <w:r>
        <w:t xml:space="preserve">. – 668) родителя, в том числе за употребление наркотических средств – 4 (</w:t>
      </w:r>
      <w:r>
        <w:t xml:space="preserve">п.г</w:t>
      </w:r>
      <w:r>
        <w:t xml:space="preserve">. – 1).</w:t>
      </w:r>
      <w:r>
        <w:rPr>
          <w:rFonts w:eastAsia="Arial Unicode MS"/>
        </w:rPr>
      </w:r>
    </w:p>
    <w:p>
      <w:pPr>
        <w:spacing w:line="276" w:lineRule="auto"/>
        <w:ind w:firstLine="709"/>
      </w:pPr>
      <w:r>
        <w:t xml:space="preserve">В рамках мероприятий, направленных на профилактику детского алкоголизм</w:t>
      </w:r>
      <w:r>
        <w:t xml:space="preserve">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 3-ФЗ «О наркотических средствах и психотропных веществах» направлено 90 (</w:t>
      </w:r>
      <w:r>
        <w:t xml:space="preserve">п.г</w:t>
      </w:r>
      <w:r>
        <w:t xml:space="preserve">. – 105) несовершеннолетних и 77 (-15%, </w:t>
      </w:r>
      <w:r>
        <w:t xml:space="preserve">п.г</w:t>
      </w:r>
      <w:r>
        <w:t xml:space="preserve">. – 85) родителей, из них: 4 (</w:t>
      </w:r>
      <w:r>
        <w:t xml:space="preserve">п.г</w:t>
      </w:r>
      <w:r>
        <w:t xml:space="preserve">. – 8) подростка и 13 (</w:t>
      </w:r>
      <w:r>
        <w:t xml:space="preserve">п.г</w:t>
      </w:r>
      <w:r>
        <w:t xml:space="preserve">. – 12) взрослых прошли курс лечения в наркологических учреждениях.</w:t>
      </w:r>
    </w:p>
    <w:p>
      <w:pPr>
        <w:spacing w:line="276" w:lineRule="auto"/>
        <w:ind w:firstLine="709"/>
      </w:pPr>
      <w:r>
        <w:t xml:space="preserve">По статистическим данным </w:t>
      </w:r>
      <w:r>
        <w:rPr>
          <w:i/>
        </w:rPr>
        <w:t xml:space="preserve">Управления Судебного департамента в Ханты-Мансийском автономном округе - Югре</w:t>
      </w:r>
      <w:r>
        <w:rPr>
          <w:rStyle w:val="1618"/>
          <w:rFonts w:eastAsia="Arial"/>
        </w:rPr>
        <w:footnoteReference w:id="42"/>
      </w:r>
      <w:r>
        <w:t xml:space="preserve">, в общей структуре судимости преступления, связанные с незаконным оборотом наркотических средств, психотропных веществ и их </w:t>
      </w:r>
      <w:r>
        <w:t xml:space="preserve">прекурсоров</w:t>
      </w:r>
      <w:r>
        <w:t xml:space="preserve"> или аналогов, сильнодействующих веществ, растений (либо их частей), содержащих наркотические средства или психотропные вещества либо их </w:t>
      </w:r>
      <w:r>
        <w:t xml:space="preserve">прекурсоры</w:t>
      </w:r>
      <w:r>
        <w:t xml:space="preserve">, новых потенциально опасных психоактивных веществ, в том числе предусмотренные статьями 228–234.1 Уголовного кодекса Российской Федерации (далее – УК РФ), составляют значительную долю в 2025 году – 12,4%. </w:t>
      </w:r>
    </w:p>
    <w:p>
      <w:pPr>
        <w:spacing w:line="276" w:lineRule="auto"/>
        <w:ind w:firstLine="709"/>
      </w:pPr>
      <w:r>
        <w:t xml:space="preserve">В 2024 году за эти преступления осуждено 823 лица (здесь и далее – по основной и дополнительной квалификации). Из них 509 лиц – за тяжкие и особо тяжкие преступления. </w:t>
      </w:r>
    </w:p>
    <w:p>
      <w:pPr>
        <w:spacing w:line="276" w:lineRule="auto"/>
        <w:ind w:firstLine="709"/>
      </w:pPr>
      <w:r>
        <w:t xml:space="preserve">В 2025 году судимость за преступления, связанные с незаконным оборотом наркотических средств, сократилось до 627 лиц. Число осужденных за такие преступления, относящиеся к категориям тяжких и особо тяжких, также сократилось и составило 422 лиц. </w:t>
      </w:r>
    </w:p>
    <w:p>
      <w:pPr>
        <w:spacing w:line="276" w:lineRule="auto"/>
        <w:ind w:firstLine="709"/>
      </w:pPr>
      <w:r>
        <w:t xml:space="preserve">Сохраняется высокий уровень судимости за незаконные приобретение, хранение, перевозку, изготовление, переработку наркотич</w:t>
      </w:r>
      <w:r>
        <w:t xml:space="preserve">еских средств, психотропных веществ и их аналогов без цели сбыта: в 2024 году по статье 228 УК РФ осуждено 556 лиц; в 2025 году – 423 лиц, что составляет 67,5% от числа осужденных за все преступления, связанные с незаконным оборотом наркотических средств. </w:t>
      </w:r>
    </w:p>
    <w:p>
      <w:pPr>
        <w:spacing w:line="276" w:lineRule="auto"/>
        <w:ind w:firstLine="709"/>
      </w:pPr>
      <w:r>
        <w:t xml:space="preserve">Отмечается снижение числа осужденных за незаконный сбыт указанных запрещенных веществ, а так</w:t>
      </w:r>
      <w:r>
        <w:t xml:space="preserve">же за их незаконные производство и пересылку. По статье 228.1 УК РФ в 2024 году осуждено 275 лиц (увеличение на 12,7% по сравнению с 2023 годом), в 2025 году число осужденных за эти преступления составило 212 (уменьшение на 23% по сравнению с 2024 годом). </w:t>
      </w:r>
    </w:p>
    <w:p>
      <w:pPr>
        <w:spacing w:line="276" w:lineRule="auto"/>
        <w:ind w:firstLine="709"/>
      </w:pPr>
      <w:r>
        <w:t xml:space="preserve">В 2025 году число осужденных за преступления, связанные с незаконным оборотом наркотических средств, в составе группы лиц по предварительному сговору также сократилось – 183 лица (на 19%), в составе организованной группы сократилось – 32 лица (на 5,9%) </w:t>
      </w:r>
    </w:p>
    <w:p>
      <w:pPr>
        <w:spacing w:line="276" w:lineRule="auto"/>
        <w:ind w:firstLine="709"/>
      </w:pPr>
      <w:r>
        <w:t xml:space="preserve">В преступную деятельность вовлекаются молодые люди, в том числе несовершеннолетние. Так, по данным за 2024 года, из числа осужденных за преступления, связанные с незаконным оборотом наркотических средств, психотропных веществ и их аналогов</w:t>
      </w:r>
      <w:r>
        <w:t xml:space="preserve">, 37,8% лиц относились к возрастной группе от 18 до 29 лет (311 лиц), 2% лиц на момент совершения преступления не достигли совершеннолетия (17 лиц). В 2025 году эти показатели несколько снизились, составив 35,6% и 3,8% соответственно (223 лица и 24 лица). </w:t>
      </w:r>
    </w:p>
    <w:p>
      <w:pPr>
        <w:spacing w:line="276" w:lineRule="auto"/>
        <w:ind w:firstLine="709"/>
      </w:pPr>
      <w:r>
        <w:t xml:space="preserve">В 2024 году к административной ответственности привлечены 2 047 лиц: из них назначено наказание в виде административного штрафа – 1 457 лицам; в виде ареста – 588 лицам, административное выдворение (как дополнительная мера наказания) – 18 лицам.</w:t>
      </w:r>
    </w:p>
    <w:p>
      <w:pPr>
        <w:spacing w:line="276" w:lineRule="auto"/>
        <w:ind w:firstLine="709"/>
      </w:pPr>
      <w:r>
        <w:t xml:space="preserve">В 2025 году к административной ответственности привлечены 9 140 лиц (в 4,5 раз больше, чем в 2024 году): из них назначено наказание в </w:t>
      </w:r>
      <w:r>
        <w:t xml:space="preserve">виде административного штрафа – 4 032 лицам; в виде ареста – 4 061 лицу, административное выдворение (как дополнительная мера наказания) – 7 лицам. Доля от общего количества рассмотренных дел об административных правонарушениях в 2025 году составляет 7,9%.</w:t>
      </w:r>
    </w:p>
    <w:p>
      <w:pPr>
        <w:spacing w:line="276" w:lineRule="auto"/>
        <w:ind w:firstLine="709"/>
      </w:pPr>
      <w:r>
        <w:t xml:space="preserve">Судьями автономного округа возложена обязанность прохождения диагностики, профилактических мероприятий, лечения, медицинской реабилитации и (или) социальную реабилитации 319 лицам (в 2024 году – 351 лицу).</w:t>
      </w:r>
    </w:p>
    <w:p>
      <w:pPr>
        <w:spacing w:line="276" w:lineRule="auto"/>
        <w:ind w:firstLine="709"/>
      </w:pPr>
      <w:r>
        <w:t xml:space="preserve">Сумма наложенных штрафов в 2024 году составила более 6,5 млн. руб. Суммы штрафов, взысканные принудительно и уп</w:t>
      </w:r>
      <w:r>
        <w:t xml:space="preserve">лаченные добровольно по судебным решениям, вступившим в законную силу в текущем и предшествующих отчетных периодах, составила более 2,8 млн. рублей. В 2025 году данные показатели значительно увеличились – 93,6 млн. рублей и 48,1 млн. рублей соответственно.</w:t>
      </w:r>
    </w:p>
    <w:p>
      <w:pPr>
        <w:spacing w:line="276" w:lineRule="auto"/>
        <w:ind w:firstLine="709"/>
      </w:pPr>
      <w:r>
        <w:t xml:space="preserve">Основную долю дел по административным правонарушениям, связанным с незаконным оборотом наркотиков, составляют дела:</w:t>
      </w:r>
    </w:p>
    <w:p>
      <w:pPr>
        <w:spacing w:line="276" w:lineRule="auto"/>
        <w:ind w:firstLine="709"/>
      </w:pPr>
      <w:r>
        <w:t xml:space="preserve">- по статье 20.21 КоАП в случаях появления в общественных местах в состоянии наркотического опьянения – 55% (4 116 дел);</w:t>
      </w:r>
    </w:p>
    <w:p>
      <w:pPr>
        <w:spacing w:line="276" w:lineRule="auto"/>
        <w:ind w:firstLine="709"/>
      </w:pPr>
      <w:r>
        <w:t xml:space="preserve">- по статье ч. 1, 3 ст. 12.8 КоАП РФ в случае управления ТС водителем, находящимся в состоянии наркотического опьянения – 32% (2 935 дел);</w:t>
      </w:r>
    </w:p>
    <w:p>
      <w:pPr>
        <w:spacing w:line="276" w:lineRule="auto"/>
        <w:ind w:firstLine="709"/>
      </w:pPr>
      <w:r>
        <w:t xml:space="preserve">- по статье 6.9 КоАП РФ КоАП РФ – 19% (1 737 дел).</w:t>
      </w:r>
    </w:p>
    <w:p>
      <w:pPr>
        <w:spacing w:line="276" w:lineRule="auto"/>
        <w:ind w:firstLine="709"/>
      </w:pPr>
    </w:p>
    <w:p>
      <w:pPr>
        <w:spacing w:line="276" w:lineRule="auto"/>
        <w:ind w:firstLine="709"/>
        <w:rPr>
          <w:highlight w:val="yellow"/>
        </w:rPr>
      </w:pPr>
      <w:r>
        <w:rPr>
          <w:highlight w:val="yellow"/>
        </w:rPr>
      </w:r>
      <w:r>
        <w:rPr>
          <w:highlight w:val="yellow"/>
        </w:rPr>
      </w:r>
    </w:p>
    <w:p>
      <w:pPr>
        <w:spacing w:line="276" w:lineRule="auto"/>
        <w:ind w:firstLine="709"/>
        <w:rPr>
          <w:highlight w:val="yellow"/>
        </w:rPr>
      </w:pPr>
      <w:r>
        <w:rPr>
          <w:highlight w:val="yellow"/>
        </w:rPr>
      </w:r>
      <w:r>
        <w:rPr>
          <w:highlight w:val="yellow"/>
        </w:rPr>
      </w:r>
    </w:p>
    <w:p>
      <w:pPr>
        <w:spacing w:line="276" w:lineRule="auto"/>
        <w:ind w:firstLine="709"/>
        <w:outlineLvl w:val="1"/>
        <w:rPr>
          <w:b/>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p>
    <w:p>
      <w:pPr>
        <w:spacing w:line="281" w:lineRule="auto"/>
        <w:ind w:firstLine="709"/>
        <w:outlineLvl w:val="1"/>
        <w:rPr>
          <w:b/>
        </w:rPr>
      </w:pPr>
      <w:r>
        <w:rPr>
          <w:b/>
        </w:rPr>
        <w:t xml:space="preserve">6. Оценка результатов реализации государственных программ (подпрограмм) Ханты-Мансийского автономного округа - Югры, в рамках которых осуществляются антинаркотические мероприятия</w:t>
      </w:r>
      <w:r>
        <w:rPr>
          <w:b/>
        </w:rPr>
      </w:r>
    </w:p>
    <w:p>
      <w:pPr>
        <w:spacing w:line="276" w:lineRule="auto"/>
        <w:ind w:firstLine="709"/>
        <w:outlineLvl w:val="1"/>
        <w:rPr>
          <w:b/>
        </w:rPr>
      </w:pPr>
      <w:r>
        <w:rPr>
          <w:b/>
        </w:rPr>
      </w:r>
      <w:r>
        <w:rPr>
          <w:b/>
        </w:rPr>
      </w:r>
    </w:p>
    <w:p>
      <w:pPr>
        <w:spacing w:line="276" w:lineRule="auto"/>
        <w:ind w:firstLine="709"/>
        <w:outlineLvl w:val="1"/>
        <w:rPr>
          <w:b/>
        </w:rPr>
      </w:pPr>
      <w:r>
        <w:rPr>
          <w:bCs/>
        </w:rPr>
        <w:t xml:space="preserve">В 2025 году на территории региона действовали следующие </w:t>
      </w:r>
      <w:r>
        <w:rPr>
          <w:b/>
          <w:bCs/>
          <w:i/>
        </w:rPr>
        <w:t xml:space="preserve">государственные программы </w:t>
      </w:r>
      <w:r>
        <w:rPr>
          <w:b/>
          <w:i/>
        </w:rPr>
        <w:t xml:space="preserve">Ханты-Мансийского автономного округа – Югры </w:t>
      </w:r>
      <w:r>
        <w:t xml:space="preserve">(далее также – Программы), в рамках которых осуществляются антинаркотические мероприятия</w:t>
      </w:r>
      <w:r>
        <w:rPr>
          <w:bCs/>
        </w:rPr>
        <w:t xml:space="preserve">:</w:t>
      </w:r>
      <w:r>
        <w:rPr>
          <w:b/>
        </w:rPr>
      </w:r>
    </w:p>
    <w:p>
      <w:pPr>
        <w:widowControl w:val="off"/>
        <w:spacing w:line="276" w:lineRule="auto"/>
        <w:ind w:firstLine="709"/>
      </w:pPr>
      <w:r>
        <w:t xml:space="preserve">1) Постановление Правительства Ханты-Мансийского автономного </w:t>
      </w:r>
      <w:r>
        <w:br/>
        <w:t xml:space="preserve">округа – Югры от 10.11.2023 № 543-п «О государственной программе Ханты-Мансийского автономного округа – Югры «Безопасность жизнедеятельности и профилактика правонарушений».</w:t>
      </w:r>
    </w:p>
    <w:p>
      <w:pPr>
        <w:widowControl w:val="off"/>
        <w:spacing w:line="276" w:lineRule="auto"/>
        <w:ind w:firstLine="709"/>
      </w:pPr>
      <w:r>
        <w:t xml:space="preserve">Ответственный исполнитель государственной программы – Департамент региональной безопасности Ханты-Мансийского автономного округа – Югры.</w:t>
      </w:r>
    </w:p>
    <w:p>
      <w:pPr>
        <w:spacing w:line="276" w:lineRule="auto"/>
        <w:ind w:firstLine="709"/>
        <w:rPr>
          <w:i/>
          <w:spacing w:val="-6"/>
          <w:sz w:val="32"/>
          <w:szCs w:val="32"/>
        </w:rPr>
      </w:pPr>
      <w:r>
        <w:t xml:space="preserve">2) Постановление Правительства Ханты-Мансийского автономного округа – Югры от 10.11.2023 № 546-п «О государственной программе Ханты-Мансийского автономного округа – Югры </w:t>
      </w:r>
      <w:r>
        <w:rPr>
          <w:lang w:eastAsia="ar-SA"/>
        </w:rPr>
        <w:t xml:space="preserve">«Развитие гражданского общества»</w:t>
      </w:r>
      <w:r>
        <w:t xml:space="preserve">.</w:t>
      </w:r>
      <w:r>
        <w:rPr>
          <w:i/>
          <w:spacing w:val="-6"/>
          <w:sz w:val="32"/>
          <w:szCs w:val="32"/>
        </w:rPr>
      </w:r>
    </w:p>
    <w:p>
      <w:pPr>
        <w:widowControl w:val="off"/>
        <w:spacing w:line="276" w:lineRule="auto"/>
        <w:ind w:firstLine="709"/>
        <w:rPr>
          <w:highlight w:val="yellow"/>
        </w:rPr>
      </w:pPr>
      <w:r>
        <w:t xml:space="preserve">Ответственный исполнитель государственной программы – Департамент молодежной политики, гражданских инициатив и внешних связей Ханты-Мансийского автономного округа – Югры.</w:t>
      </w:r>
      <w:r>
        <w:rPr>
          <w:highlight w:val="yellow"/>
        </w:rPr>
      </w:r>
    </w:p>
    <w:p>
      <w:pPr>
        <w:spacing w:line="276" w:lineRule="auto"/>
        <w:ind w:firstLine="709"/>
      </w:pPr>
      <w:r>
        <w:t xml:space="preserve">3) Постановление Правительства Ханты-Мансийского автономного округа – Югры от 10.11.2023 № 550-п «О государственной программе Ханты-Мансийского автономного округа – Югры «Развитие образования».</w:t>
      </w:r>
    </w:p>
    <w:p>
      <w:pPr>
        <w:widowControl w:val="off"/>
        <w:spacing w:line="276" w:lineRule="auto"/>
        <w:ind w:firstLine="709"/>
      </w:pPr>
      <w:r>
        <w:t xml:space="preserve">Ответственный исполнитель государственной программы – Департамент образования и науки Ханты-Мансийского автономного округа – Югры.</w:t>
      </w:r>
    </w:p>
    <w:p>
      <w:pPr>
        <w:spacing w:line="276" w:lineRule="auto"/>
        <w:ind w:firstLine="709"/>
        <w:rPr>
          <w:i/>
        </w:rPr>
      </w:pPr>
      <w:r>
        <w:t xml:space="preserve">4) Постановление Правительства Ханты-Мансийского автономного </w:t>
      </w:r>
      <w:r>
        <w:br/>
        <w:t xml:space="preserve">округа – Югры от 10.11.2023 № 558-п «О государственной программе </w:t>
      </w:r>
      <w:r>
        <w:br/>
        <w:t xml:space="preserve">Ханты-Мансийского автономного округа – Югры «Современное здравоохранение»</w:t>
      </w:r>
      <w:r>
        <w:rPr>
          <w:i/>
        </w:rPr>
        <w:t xml:space="preserve">.</w:t>
      </w:r>
      <w:r>
        <w:rPr>
          <w:i/>
        </w:rPr>
      </w:r>
    </w:p>
    <w:p>
      <w:pPr>
        <w:widowControl w:val="off"/>
        <w:spacing w:line="276" w:lineRule="auto"/>
        <w:ind w:firstLine="709"/>
      </w:pPr>
      <w:r>
        <w:t xml:space="preserve">Ответственный исполнитель государственной программы – Департамент здравоохранения автономного округа.</w:t>
      </w:r>
    </w:p>
    <w:p>
      <w:pPr>
        <w:spacing w:line="276" w:lineRule="auto"/>
        <w:ind w:firstLine="709"/>
      </w:pPr>
      <w:r>
        <w:t xml:space="preserve">5) Постановление Правительства Ханты-Мансийского автономного округа – Югры от 10.11.2023 № 560-п «О государственной программе Ханты-</w:t>
      </w:r>
      <w:r>
        <w:t xml:space="preserve">Мансийского автономного округа – Югры </w:t>
      </w:r>
      <w:r>
        <w:rPr>
          <w:lang w:eastAsia="ar-SA"/>
        </w:rPr>
        <w:t xml:space="preserve">«Социальное и демографическое развитие».</w:t>
      </w:r>
    </w:p>
    <w:p>
      <w:pPr>
        <w:spacing w:line="276" w:lineRule="auto"/>
        <w:ind w:firstLine="709"/>
      </w:pPr>
      <w:r>
        <w:t xml:space="preserve">Ответственный исполнитель государственной программы – Департамент социального развития Ханты-Мансийского автономного округа – Югры.</w:t>
      </w:r>
    </w:p>
    <w:p>
      <w:pPr>
        <w:spacing w:line="276" w:lineRule="auto"/>
        <w:ind w:firstLine="709"/>
        <w:rPr>
          <w:bCs/>
          <w:color w:val="000000" w:themeColor="text1"/>
          <w:spacing w:val="-6"/>
        </w:rPr>
      </w:pPr>
      <w:r>
        <w:rPr>
          <w:color w:val="000000" w:themeColor="text1"/>
          <w:lang w:eastAsia="ar-SA"/>
        </w:rPr>
        <w:t xml:space="preserve">Общий (плановый) объем финансирования мероприятий антинаркотической направленности указанных выше программ в 2025 году составляет 48,08 млн рублей.</w:t>
      </w:r>
      <w:r>
        <w:rPr>
          <w:bCs/>
          <w:color w:val="000000" w:themeColor="text1"/>
          <w:spacing w:val="-6"/>
        </w:rPr>
      </w:r>
    </w:p>
    <w:p>
      <w:pPr>
        <w:spacing w:line="276" w:lineRule="auto"/>
        <w:ind w:firstLine="709"/>
        <w:rPr>
          <w:color w:val="000000" w:themeColor="text1"/>
          <w:spacing w:val="-6"/>
        </w:rPr>
      </w:pPr>
      <w:r>
        <w:rPr>
          <w:color w:val="000000" w:themeColor="text1"/>
          <w:lang w:eastAsia="ar-SA"/>
        </w:rPr>
        <w:t xml:space="preserve">В рамках государственной программы «Безопасность жизнедеятельности и профилактика правонарушений» реализуется комплекс процессных мероприятий «Профилактика незаконного оборота </w:t>
      </w:r>
      <w:r>
        <w:rPr>
          <w:color w:val="000000" w:themeColor="text1"/>
          <w:lang w:eastAsia="ar-SA"/>
        </w:rPr>
        <w:br/>
        <w:t xml:space="preserve">и потребления наркотических средств и психотропных веществ», </w:t>
      </w:r>
      <w:r>
        <w:rPr>
          <w:color w:val="000000" w:themeColor="text1"/>
          <w:lang w:eastAsia="ar-SA"/>
        </w:rPr>
        <w:br/>
        <w:t xml:space="preserve">финансирование которого в 2025 году предусмотрено в объеме 17,69 млн рублей.</w:t>
      </w:r>
      <w:r>
        <w:rPr>
          <w:color w:val="000000" w:themeColor="text1"/>
          <w:spacing w:val="-6"/>
        </w:rPr>
      </w:r>
    </w:p>
    <w:p>
      <w:pPr>
        <w:spacing w:line="276" w:lineRule="auto"/>
        <w:ind w:firstLine="709"/>
        <w:rPr>
          <w:bCs/>
          <w:color w:val="000000" w:themeColor="text1"/>
          <w:spacing w:val="-6"/>
        </w:rPr>
      </w:pPr>
      <w:r>
        <w:rPr>
          <w:color w:val="000000" w:themeColor="text1"/>
          <w:lang w:eastAsia="ar-SA"/>
        </w:rPr>
        <w:t xml:space="preserve">Соисполнителями программных мероприятий также являются </w:t>
      </w:r>
      <w:r>
        <w:rPr>
          <w:highlight w:val="white"/>
          <w:lang w:eastAsia="ar-SA"/>
        </w:rPr>
        <w:t xml:space="preserve">Департамент физической культу</w:t>
      </w:r>
      <w:r>
        <w:rPr>
          <w:highlight w:val="white"/>
          <w:lang w:eastAsia="ar-SA"/>
        </w:rPr>
        <w:t xml:space="preserve">ры и спорта автономного округа, Департамент образования и науки автономного округа, Департамент культуры автономного округа, Департамент здравоохранения автономного округа, Департамент информационных технологий и цифрового развития автономного округа и Деп</w:t>
      </w:r>
      <w:r>
        <w:rPr>
          <w:bCs/>
          <w:spacing w:val="-6"/>
          <w:highlight w:val="white"/>
        </w:rPr>
        <w:t xml:space="preserve">артамент внутренней политики автономного округа.</w:t>
      </w:r>
      <w:r>
        <w:rPr>
          <w:bCs/>
          <w:color w:val="000000" w:themeColor="text1"/>
          <w:spacing w:val="-6"/>
        </w:rPr>
      </w:r>
    </w:p>
    <w:p>
      <w:pPr>
        <w:spacing w:line="276" w:lineRule="auto"/>
        <w:ind w:firstLine="709"/>
        <w:rPr>
          <w:highlight w:val="white"/>
        </w:rPr>
      </w:pPr>
      <w:r>
        <w:rPr>
          <w:highlight w:val="white"/>
        </w:rPr>
        <w:t xml:space="preserve">Бюджет муниципальных образований автономного округа, направленный на антинаркотическую деятельность в рамках реализации </w:t>
      </w:r>
      <w:r>
        <w:rPr>
          <w:highlight w:val="white"/>
          <w:lang w:eastAsia="ar-SA"/>
        </w:rPr>
        <w:br/>
        <w:t xml:space="preserve">22 муниципальных программ городских округов и муниципальных районов </w:t>
      </w:r>
      <w:r>
        <w:rPr>
          <w:highlight w:val="white"/>
        </w:rPr>
        <w:t xml:space="preserve">автономного округа, в 2025 году составил 11,49 млн рублей.</w:t>
      </w:r>
      <w:r>
        <w:rPr>
          <w:highlight w:val="white"/>
        </w:rPr>
      </w:r>
    </w:p>
    <w:p>
      <w:pPr>
        <w:spacing w:line="276" w:lineRule="auto"/>
        <w:ind w:firstLine="709"/>
        <w:rPr>
          <w:bCs/>
          <w:color w:val="000000" w:themeColor="text1"/>
          <w:spacing w:val="-6"/>
        </w:rPr>
      </w:pPr>
      <w:r>
        <w:rPr>
          <w:color w:val="000000" w:themeColor="text1"/>
          <w:lang w:eastAsia="ar-SA"/>
        </w:rPr>
        <w:t xml:space="preserve">Мероприятиями указанных программ охвачены все сферы антинаркотической политики: профилактика наркомании, лечение наркозависимых, комплексная реабилитация и </w:t>
      </w:r>
      <w:r>
        <w:rPr>
          <w:color w:val="000000" w:themeColor="text1"/>
          <w:lang w:eastAsia="ar-SA"/>
        </w:rPr>
        <w:t xml:space="preserve">ресоциализация</w:t>
      </w:r>
      <w:r>
        <w:rPr>
          <w:color w:val="000000" w:themeColor="text1"/>
          <w:lang w:eastAsia="ar-SA"/>
        </w:rPr>
        <w:t xml:space="preserve"> наркозависимых лиц, противодействие </w:t>
      </w:r>
      <w:r>
        <w:rPr>
          <w:color w:val="000000" w:themeColor="text1"/>
          <w:lang w:eastAsia="ar-SA"/>
        </w:rPr>
        <w:t xml:space="preserve">наркопреступности</w:t>
      </w:r>
      <w:r>
        <w:rPr>
          <w:color w:val="000000" w:themeColor="text1"/>
          <w:lang w:eastAsia="ar-SA"/>
        </w:rPr>
        <w:t xml:space="preserve">. </w:t>
      </w:r>
      <w:r>
        <w:rPr>
          <w:bCs/>
          <w:color w:val="000000" w:themeColor="text1"/>
          <w:spacing w:val="-6"/>
        </w:rPr>
      </w:r>
    </w:p>
    <w:p>
      <w:pPr>
        <w:spacing w:line="276" w:lineRule="auto"/>
        <w:ind w:firstLine="709"/>
        <w:rPr>
          <w:spacing w:val="-6"/>
          <w:highlight w:val="white"/>
        </w:rPr>
      </w:pPr>
      <w:r>
        <w:rPr>
          <w:bCs/>
          <w:spacing w:val="-6"/>
          <w:highlight w:val="white"/>
        </w:rPr>
        <w:t xml:space="preserve">Департаментом региональной безопаснос</w:t>
      </w:r>
      <w:r>
        <w:rPr>
          <w:highlight w:val="white"/>
          <w:lang w:eastAsia="ar-SA"/>
        </w:rPr>
        <w:t xml:space="preserve">ти автономного округа </w:t>
      </w:r>
      <w:r>
        <w:rPr>
          <w:highlight w:val="white"/>
          <w:lang w:eastAsia="ar-SA"/>
        </w:rPr>
        <w:br/>
        <w:t xml:space="preserve">на сумму 0,2 млн рублей изготовлено 58 тыс. экземпляров памяток </w:t>
      </w:r>
      <w:r>
        <w:rPr>
          <w:highlight w:val="white"/>
          <w:lang w:eastAsia="ar-SA"/>
        </w:rPr>
        <w:br/>
        <w:t xml:space="preserve">для иностранных граждан об ответственности за </w:t>
      </w:r>
      <w:r>
        <w:rPr>
          <w:highlight w:val="white"/>
          <w:lang w:eastAsia="ar-SA"/>
        </w:rPr>
        <w:t xml:space="preserve">наркопреступл</w:t>
      </w:r>
      <w:r>
        <w:rPr>
          <w:highlight w:val="white"/>
        </w:rPr>
        <w:t xml:space="preserve">ения</w:t>
      </w:r>
      <w:r>
        <w:rPr>
          <w:highlight w:val="white"/>
        </w:rPr>
        <w:t xml:space="preserve">. Тираж печатной продукции Управлению МВД России по автономному округу для использования в профилактической работе передан в июле 2025 года.</w:t>
      </w:r>
      <w:r>
        <w:rPr>
          <w:spacing w:val="-6"/>
          <w:highlight w:val="white"/>
        </w:rPr>
      </w:r>
    </w:p>
    <w:p>
      <w:pPr>
        <w:spacing w:line="276" w:lineRule="auto"/>
        <w:ind w:firstLine="709"/>
      </w:pPr>
      <w:r>
        <w:rPr>
          <w:spacing w:val="-6"/>
          <w:highlight w:val="white"/>
        </w:rPr>
        <w:t xml:space="preserve">В мае 2025 года проведен ежегодный конкурс среди муниципальных образований автономного округа в сфере организации мероприятий </w:t>
      </w:r>
      <w:r>
        <w:rPr>
          <w:spacing w:val="-6"/>
          <w:highlight w:val="white"/>
        </w:rPr>
        <w:br/>
        <w:t xml:space="preserve">по профилактике незаконного потребления наркотических средств и психотропных веществ, наркомании, определено 10 победителей (6 городских </w:t>
      </w:r>
      <w:r>
        <w:rPr>
          <w:spacing w:val="-6"/>
          <w:highlight w:val="white"/>
        </w:rPr>
        <w:t xml:space="preserve">округов и 4 муниципальных района). В июле 2025 года с победителями конкурса заключены соглашения </w:t>
      </w:r>
      <w:r>
        <w:rPr>
          <w:highlight w:val="white"/>
        </w:rPr>
        <w:t xml:space="preserve">о предоставлении из бюджета автономного округа иных межбюджетных трансфертов для проведения мероприятий и изготовления продукции, направленных на профилактику наркомании </w:t>
      </w:r>
      <w:r>
        <w:rPr>
          <w:spacing w:val="-6"/>
          <w:highlight w:val="white"/>
        </w:rPr>
        <w:t xml:space="preserve">на сумму 8,0 млн рублей</w:t>
      </w:r>
      <w:r>
        <w:rPr>
          <w:rStyle w:val="1618"/>
          <w:spacing w:val="-6"/>
          <w:highlight w:val="white"/>
        </w:rPr>
        <w:footnoteReference w:id="43"/>
      </w:r>
      <w:r>
        <w:rPr>
          <w:spacing w:val="-6"/>
          <w:highlight w:val="white"/>
        </w:rPr>
        <w:t xml:space="preserve">.</w:t>
      </w:r>
      <w:r>
        <w:t xml:space="preserve"> По состоянию на 25.12.2025 финансовые средства освоены в полном объеме.</w:t>
      </w:r>
    </w:p>
    <w:p>
      <w:pPr>
        <w:spacing w:line="276" w:lineRule="auto"/>
        <w:ind w:firstLine="709"/>
      </w:pPr>
      <w:r>
        <w:rPr>
          <w:highlight w:val="white"/>
        </w:rPr>
        <w:t xml:space="preserve">Департаментом внутренней политики автономного округа </w:t>
      </w:r>
      <w:r>
        <w:t xml:space="preserve">организована работа по созданию и размещению в средствах массовой коммуникации автономного округа контента, направленного </w:t>
      </w:r>
      <w:r>
        <w:br/>
        <w:t xml:space="preserve">на повышение уровня осведомленности граждан о рисках, связанных </w:t>
      </w:r>
      <w:r>
        <w:br/>
        <w:t xml:space="preserve">с незаконным потреблением наркотиков, и последствиях такого потребления.</w:t>
      </w:r>
    </w:p>
    <w:p>
      <w:pPr>
        <w:spacing w:line="276" w:lineRule="auto"/>
        <w:ind w:firstLine="709"/>
      </w:pPr>
      <w:r>
        <w:t xml:space="preserve">Совместно с автономным учреждением автономн</w:t>
      </w:r>
      <w:r>
        <w:t xml:space="preserve">ого округа «Окружная телерадиокомпания «Югра» разработан медиаплан по освещению в 2025 году в средствах массовой коммуникации мероприятий, направленных на противодействие распространению незаконного потребления наркотических средств и психотропных веществ.</w:t>
      </w:r>
    </w:p>
    <w:p>
      <w:pPr>
        <w:spacing w:line="276" w:lineRule="auto"/>
        <w:ind w:firstLine="709"/>
      </w:pPr>
      <w:r>
        <w:t xml:space="preserve">Целями данной информационно-просветительской кампании являются:</w:t>
      </w:r>
    </w:p>
    <w:p>
      <w:pPr>
        <w:spacing w:line="276" w:lineRule="auto"/>
        <w:ind w:firstLine="709"/>
      </w:pPr>
      <w:r>
        <w:t xml:space="preserve">информирование и повышение уровня осведомленности жителей автономного округа об опасности употребления наркотических </w:t>
      </w:r>
      <w:r>
        <w:br/>
        <w:t xml:space="preserve">и психотропных веществ,</w:t>
      </w:r>
    </w:p>
    <w:p>
      <w:pPr>
        <w:spacing w:line="276" w:lineRule="auto"/>
        <w:ind w:firstLine="709"/>
      </w:pPr>
      <w:r>
        <w:t xml:space="preserve">формирование в обществе осознанного негативного отношения </w:t>
      </w:r>
      <w:r>
        <w:br/>
        <w:t xml:space="preserve">к незаконному употреблению наркотиков и повышения ответственности </w:t>
      </w:r>
      <w:r>
        <w:br/>
        <w:t xml:space="preserve">за собственное здоровье, жизнь, социальный статус, свободу,</w:t>
      </w:r>
    </w:p>
    <w:p>
      <w:pPr>
        <w:spacing w:line="276" w:lineRule="auto"/>
        <w:ind w:firstLine="709"/>
      </w:pPr>
      <w:r>
        <w:t xml:space="preserve">формирование общественного мнения о неотвратимости наказания </w:t>
      </w:r>
      <w:r>
        <w:br/>
        <w:t xml:space="preserve">за употребление и распространение наркотических средств,</w:t>
      </w:r>
    </w:p>
    <w:p>
      <w:pPr>
        <w:spacing w:line="276" w:lineRule="auto"/>
        <w:ind w:firstLine="709"/>
      </w:pPr>
      <w:r>
        <w:t xml:space="preserve">освещение действий и решений Правительства автономного округа, правоохранительных органов, направленных на борьбу с распространением наркотиков,</w:t>
      </w:r>
    </w:p>
    <w:p>
      <w:pPr>
        <w:spacing w:line="276" w:lineRule="auto"/>
        <w:ind w:firstLine="709"/>
      </w:pPr>
      <w:r>
        <w:t xml:space="preserve">производство и продвижение контента, направленного </w:t>
      </w:r>
      <w:r>
        <w:br/>
        <w:t xml:space="preserve">на популяризацию ценности здорового образа жизни, воспитание культуры безопасности и формирование правильных моделей поведения в обществе.</w:t>
      </w:r>
    </w:p>
    <w:p>
      <w:pPr>
        <w:spacing w:line="276" w:lineRule="auto"/>
        <w:ind w:firstLine="709"/>
      </w:pPr>
      <w:r>
        <w:t xml:space="preserve">В рамках </w:t>
      </w:r>
      <w:r>
        <w:t xml:space="preserve">медиаплана</w:t>
      </w:r>
      <w:r>
        <w:t xml:space="preserve"> в 2025 году реализованы следующие мероприятия:</w:t>
      </w:r>
    </w:p>
    <w:p>
      <w:pPr>
        <w:spacing w:line="276" w:lineRule="auto"/>
        <w:ind w:firstLine="709"/>
      </w:pPr>
      <w:r>
        <w:t xml:space="preserve">1) Тематические выпуски в программах, новостные материалы </w:t>
      </w:r>
      <w:r>
        <w:br/>
        <w:t xml:space="preserve">на телеканале «Югра» и радио «Югра»:</w:t>
      </w:r>
    </w:p>
    <w:p>
      <w:pPr>
        <w:spacing w:line="276" w:lineRule="auto"/>
        <w:ind w:firstLine="709"/>
      </w:pPr>
      <w:r>
        <w:t xml:space="preserve">программа «В итоге…», выпуски «Опасность «легких» денег» </w:t>
      </w:r>
      <w:r>
        <w:br/>
        <w:t xml:space="preserve">от 25.02.2025, «Опасные конфеты (какие опасности могут таить подарки </w:t>
      </w:r>
      <w:r>
        <w:br/>
        <w:t xml:space="preserve">и угощения от незнакомцев)» от 15.07.2025, «Мои границы (умей сказать – «НЕТ»)» от 04.11.2025,</w:t>
      </w:r>
    </w:p>
    <w:p>
      <w:pPr>
        <w:spacing w:line="276" w:lineRule="auto"/>
        <w:ind w:firstLine="709"/>
      </w:pPr>
      <w:r>
        <w:t xml:space="preserve">программа «Простые вопросы» (беседа ведущего с гостем в студии), выпуск «Наркотики – это зло» с участием заместителя начальника Управления по контролю за оборотом наркотиков УМВД России по автономному округу, полковника полиции Виталия </w:t>
      </w:r>
      <w:r>
        <w:t xml:space="preserve">Миненкова</w:t>
      </w:r>
      <w:r>
        <w:t xml:space="preserve"> и врача психиатра-нарколога Артёма Леонова,</w:t>
      </w:r>
    </w:p>
    <w:p>
      <w:pPr>
        <w:spacing w:line="276" w:lineRule="auto"/>
        <w:ind w:firstLine="709"/>
      </w:pPr>
      <w:r>
        <w:t xml:space="preserve">программа «Здесь и сейчас», выпуск «Территория безопасности» </w:t>
      </w:r>
      <w:r>
        <w:br/>
        <w:t xml:space="preserve">от 11.03.2025 с участием в качестве спикера представителя Управления </w:t>
      </w:r>
      <w:r>
        <w:br/>
        <w:t xml:space="preserve">по контролю за оборотом наркотиков УМВД России по автономному округу,</w:t>
      </w:r>
    </w:p>
    <w:p>
      <w:pPr>
        <w:spacing w:line="276" w:lineRule="auto"/>
        <w:ind w:firstLine="709"/>
      </w:pPr>
      <w:r>
        <w:t xml:space="preserve">программа «Югра – территория безопасности», выпус</w:t>
      </w:r>
      <w:r>
        <w:rPr>
          <w:shd w:val="clear" w:color="ffffff" w:themeColor="background1" w:fill="ffffff" w:themeFill="background1"/>
        </w:rPr>
        <w:t xml:space="preserve">ки </w:t>
      </w:r>
      <w:r>
        <w:t xml:space="preserve">«Новый сезон: лед, пламя и наркоторговец-«изобретатель» от 01.04.2025, «ОПГ и </w:t>
      </w:r>
      <w:r>
        <w:t xml:space="preserve">нарколаборатория</w:t>
      </w:r>
      <w:r>
        <w:t xml:space="preserve"> – правоохранители Югры перекрыли поставки запрещенных веществ»</w:t>
      </w:r>
      <w:r>
        <w:rPr>
          <w:rStyle w:val="1618"/>
        </w:rPr>
        <w:t xml:space="preserve"> </w:t>
      </w:r>
      <w:r>
        <w:t xml:space="preserve">от 02.09.2025,</w:t>
      </w:r>
    </w:p>
    <w:p>
      <w:pPr>
        <w:spacing w:line="276" w:lineRule="auto"/>
        <w:ind w:firstLine="709"/>
        <w:rPr>
          <w:color w:val="000000"/>
        </w:rPr>
      </w:pPr>
      <w:r>
        <w:t xml:space="preserve">программа «С 7 до 10», с участием экспертов и представителей правоохранительных органов,</w:t>
      </w:r>
      <w:r>
        <w:rPr>
          <w:color w:val="000000"/>
        </w:rPr>
      </w:r>
    </w:p>
    <w:p>
      <w:pPr>
        <w:spacing w:line="276" w:lineRule="auto"/>
        <w:ind w:firstLine="709"/>
      </w:pPr>
      <w:r>
        <w:t xml:space="preserve">Программа «Новости» на телеканале «Югра» и радио «Югра» – информационные материалы по правовому просвещения и информированию об ответственности граждан в сфере противодействия наркомании. Общее количество размещенных материалов в программе «Новости» – 82.</w:t>
      </w:r>
    </w:p>
    <w:p>
      <w:pPr>
        <w:spacing w:line="276" w:lineRule="auto"/>
        <w:ind w:firstLine="709"/>
      </w:pPr>
      <w:r>
        <w:t xml:space="preserve">Гостевые блоки в программах «Свои люди», «Доброе утро, Югра!», «Семейный доктор» на радио «Югра» с участием экспертов, представителей правоохранительных органов.</w:t>
      </w:r>
    </w:p>
    <w:p>
      <w:pPr>
        <w:spacing w:line="276" w:lineRule="auto"/>
        <w:ind w:firstLine="709"/>
      </w:pPr>
      <w:r>
        <w:t xml:space="preserve">Прокат тематических роликов в межпрограммном эфире телеканала «Югра». Общее количество размещенных роликов – 7, общее количество прокатов за январь – декабрь 2025 года – 239. Производство </w:t>
      </w:r>
      <w:r>
        <w:br/>
        <w:t xml:space="preserve">и прокат </w:t>
      </w:r>
      <w:r>
        <w:t xml:space="preserve">аудиороликов</w:t>
      </w:r>
      <w:r>
        <w:t xml:space="preserve"> для радиоэфира запланированы на 2 полугодие 2025 года.</w:t>
      </w:r>
    </w:p>
    <w:p>
      <w:pPr>
        <w:spacing w:line="276" w:lineRule="auto"/>
        <w:ind w:firstLine="709"/>
      </w:pPr>
      <w:r>
        <w:t xml:space="preserve">2) Тематические рубрики в газетах «Новости Югры», «Местное время», а также на информационно-аналитическом портале «</w:t>
      </w:r>
      <w:hyperlink r:id="rId41" w:tooltip="https://ugra-news.ru" w:history="1">
        <w:r>
          <w:rPr>
            <w:rStyle w:val="1652"/>
          </w:rPr>
          <w:t xml:space="preserve">ugra-news.ru</w:t>
        </w:r>
      </w:hyperlink>
      <w:r>
        <w:t xml:space="preserve">»:</w:t>
      </w:r>
    </w:p>
    <w:p>
      <w:pPr>
        <w:spacing w:line="276" w:lineRule="auto"/>
        <w:ind w:firstLine="709"/>
        <w:rPr>
          <w:color w:val="000000"/>
        </w:rPr>
      </w:pPr>
      <w:r>
        <w:t xml:space="preserve">рубрика «Жизнь против наркотиков», материалы «Спасать тех, </w:t>
      </w:r>
      <w:r>
        <w:br/>
        <w:t xml:space="preserve">кто стоит на краю пропасти» от 03.04.2025, «Свернуть с края пропасти» от 22.05.2025, «От отчаяния в нормальную жизнь» от 19.06.2025, «</w:t>
      </w:r>
      <w:r>
        <w:rPr>
          <w:color w:val="000000"/>
        </w:rPr>
        <w:t xml:space="preserve">Как </w:t>
      </w:r>
      <w:r>
        <w:rPr>
          <w:color w:val="000000"/>
        </w:rPr>
        <w:t xml:space="preserve">югорчанин</w:t>
      </w:r>
      <w:r>
        <w:rPr>
          <w:color w:val="000000"/>
        </w:rPr>
        <w:t xml:space="preserve"> </w:t>
      </w:r>
      <w:r>
        <w:rPr>
          <w:color w:val="000000"/>
        </w:rPr>
        <w:t xml:space="preserve">смог выбраться из героиновой ямы» от 25.07.2025, «Жизнь взаймы» от 02.10.2025,</w:t>
      </w:r>
      <w:r>
        <w:rPr>
          <w:color w:val="000000"/>
        </w:rPr>
      </w:r>
    </w:p>
    <w:p>
      <w:pPr>
        <w:spacing w:line="276" w:lineRule="auto"/>
        <w:ind w:firstLine="709"/>
      </w:pPr>
      <w:r>
        <w:rPr>
          <w:color w:val="000000"/>
        </w:rPr>
        <w:t xml:space="preserve">п</w:t>
      </w:r>
      <w:r>
        <w:t xml:space="preserve">роект «Скажем наркотикам НЕТ», материалы «Цена эйфории» </w:t>
      </w:r>
      <w:r>
        <w:br/>
        <w:t xml:space="preserve">от 16.04.2025, «В реабилитационном центре «Феникс» </w:t>
      </w:r>
      <w:r>
        <w:t xml:space="preserve">югорчанину</w:t>
      </w:r>
      <w:r>
        <w:t xml:space="preserve"> дали силы жить» от 17.05.2025, «Ситуация нейтральная» от 26.03.2025, «Цифры и жизнь» от 26.04.2025, «Время независимых» от 30.07.2025, «Краской против наркотиков» от 24.09.2025, «VR против наркомании» от 12.11.2025.</w:t>
      </w:r>
    </w:p>
    <w:p>
      <w:pPr>
        <w:spacing w:line="276" w:lineRule="auto"/>
        <w:ind w:firstLine="709"/>
      </w:pPr>
      <w:r>
        <w:t xml:space="preserve">3) Материалы в социальных сетях:</w:t>
      </w:r>
    </w:p>
    <w:p>
      <w:pPr>
        <w:spacing w:line="276" w:lineRule="auto"/>
        <w:ind w:firstLine="709"/>
      </w:pPr>
      <w:r>
        <w:t xml:space="preserve">информационные карточки антинаркотической направленности </w:t>
      </w:r>
      <w:r>
        <w:br/>
        <w:t xml:space="preserve">и популяризации здорового образа жизни, распространяемые </w:t>
      </w:r>
      <w:r>
        <w:br/>
        <w:t xml:space="preserve">в неофициальных группах и каналах автономного округа. Общее количество опубликованных постов в социальных сетях и мессенджерах региона – 57. Охват аудитории – свыше 1 млн человек. Записи набрали 71857 просмотров. Социальная реакция (сумма </w:t>
      </w:r>
      <w:r>
        <w:t xml:space="preserve">репостов</w:t>
      </w:r>
      <w:r>
        <w:t xml:space="preserve">, </w:t>
      </w:r>
      <w:r>
        <w:t xml:space="preserve">лайков</w:t>
      </w:r>
      <w:r>
        <w:t xml:space="preserve">, комментариев) – 216,</w:t>
      </w:r>
    </w:p>
    <w:p>
      <w:pPr>
        <w:spacing w:line="276" w:lineRule="auto"/>
        <w:ind w:firstLine="709"/>
      </w:pPr>
      <w:r>
        <w:t xml:space="preserve">видеоролики, информационные карточки антинаркотической направленности, популяризации здорового образа жизни, о вреде наркотиков и последствиях их употребления в официальных аккаунтах региона во «</w:t>
      </w:r>
      <w:r>
        <w:t xml:space="preserve">Вконтакте</w:t>
      </w:r>
      <w:r>
        <w:t xml:space="preserve">» и «Одноклассниках», а также официальном канале в «</w:t>
      </w:r>
      <w:r>
        <w:t xml:space="preserve">Telegram</w:t>
      </w:r>
      <w:r>
        <w:t xml:space="preserve">»,</w:t>
      </w:r>
    </w:p>
    <w:p>
      <w:pPr>
        <w:spacing w:line="276" w:lineRule="auto"/>
        <w:ind w:firstLine="709"/>
      </w:pPr>
      <w:r>
        <w:rPr>
          <w:color w:val="000000"/>
        </w:rPr>
        <w:t xml:space="preserve">подготовлен и размещен в эфире телеканала «Югра» социальный видеоролик на тему «Профилактика наркомании на базе молодежных центров» (хронометраж 3 минуты). Осуществлено </w:t>
      </w:r>
      <w:r>
        <w:rPr>
          <w:color w:val="000000"/>
        </w:rPr>
        <w:t xml:space="preserve">таргетированное</w:t>
      </w:r>
      <w:r>
        <w:rPr>
          <w:color w:val="000000"/>
        </w:rPr>
        <w:t xml:space="preserve"> продвижение видеоролика в социальной сети «</w:t>
      </w:r>
      <w:r>
        <w:rPr>
          <w:color w:val="000000"/>
        </w:rPr>
        <w:t xml:space="preserve">ВКонтакте</w:t>
      </w:r>
      <w:r>
        <w:rPr>
          <w:color w:val="000000"/>
        </w:rPr>
        <w:t xml:space="preserve">»,</w:t>
      </w:r>
    </w:p>
    <w:p>
      <w:pPr>
        <w:tabs>
          <w:tab w:val="left" w:pos="1134" w:leader="none"/>
        </w:tabs>
        <w:spacing w:line="276" w:lineRule="auto"/>
        <w:ind w:firstLine="709"/>
      </w:pPr>
      <w:r>
        <w:t xml:space="preserve">опубликовано постов в социальных сетях и мессенджерах </w:t>
      </w:r>
      <w:r>
        <w:br/>
        <w:t xml:space="preserve">региона – 24; записи набрали 488 792 просмотров. Социальная реакция (сумма </w:t>
      </w:r>
      <w:r>
        <w:t xml:space="preserve">репостов</w:t>
      </w:r>
      <w:r>
        <w:t xml:space="preserve">, </w:t>
      </w:r>
      <w:r>
        <w:t xml:space="preserve">лайков</w:t>
      </w:r>
      <w:r>
        <w:t xml:space="preserve">, комментариев) – 149,</w:t>
      </w:r>
    </w:p>
    <w:p>
      <w:pPr>
        <w:tabs>
          <w:tab w:val="left" w:pos="1134" w:leader="none"/>
        </w:tabs>
        <w:spacing w:line="276" w:lineRule="auto"/>
        <w:ind w:firstLine="709"/>
      </w:pPr>
      <w:r>
        <w:t xml:space="preserve">шаблоны в формате видео, карточки и текст для официальных страниц органов власти, местного самоуправления, подведомственных организаций (</w:t>
      </w:r>
      <w:r>
        <w:t xml:space="preserve">госпабликов</w:t>
      </w:r>
      <w:r>
        <w:t xml:space="preserve">).</w:t>
      </w:r>
    </w:p>
    <w:p>
      <w:pPr>
        <w:tabs>
          <w:tab w:val="left" w:pos="1134" w:leader="none"/>
        </w:tabs>
        <w:spacing w:line="276" w:lineRule="auto"/>
        <w:ind w:firstLine="709"/>
      </w:pPr>
      <w:r>
        <w:t xml:space="preserve">В системе «ПОС. </w:t>
      </w:r>
      <w:r>
        <w:t xml:space="preserve">Госпаблики</w:t>
      </w:r>
      <w:r>
        <w:t xml:space="preserve">» размещены шаблоны «Защитите будущее своего ребенка» (25.03.2025, посты опубликованы в 459 </w:t>
      </w:r>
      <w:r>
        <w:t xml:space="preserve">госпабликах</w:t>
      </w:r>
      <w:r>
        <w:t xml:space="preserve">, шаблон собрал более 56 тыс. просмотров), «О международном дне борьбы с наркоманией» (26.06.2025, посты опубликованы в 459 </w:t>
      </w:r>
      <w:r>
        <w:t xml:space="preserve">госпабликах</w:t>
      </w:r>
      <w:r>
        <w:t xml:space="preserve">, шаблон собрал более 43 тыс. просмотров), «Югра – за здоровое будущее» (26.09.2025, посты опубликованы в 161 </w:t>
      </w:r>
      <w:r>
        <w:t xml:space="preserve">госпаблике</w:t>
      </w:r>
      <w:r>
        <w:t xml:space="preserve">, шаблон собрал более 12 тыс. просмотров), «О наркотиках» (28.11.2025, посты опубликованы в 502 </w:t>
      </w:r>
      <w:r>
        <w:t xml:space="preserve">госпабликах</w:t>
      </w:r>
      <w:r>
        <w:t xml:space="preserve">, шаблон собрал более 34 тыс. просмотров). Дополнительно тема </w:t>
      </w:r>
      <w:r>
        <w:t xml:space="preserve">персонально отрабатывается администраторами </w:t>
      </w:r>
      <w:r>
        <w:t xml:space="preserve">госпабликов</w:t>
      </w:r>
      <w:r>
        <w:t xml:space="preserve"> через курирующие органы власти, особенно системы образования. </w:t>
      </w:r>
    </w:p>
    <w:p>
      <w:pPr>
        <w:pStyle w:val="1612"/>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целях привлечения внимания к теме профилактики </w:t>
      </w:r>
      <w:r>
        <w:rPr>
          <w:rFonts w:ascii="Times New Roman" w:hAnsi="Times New Roman" w:cs="Times New Roman"/>
          <w:sz w:val="28"/>
          <w:szCs w:val="28"/>
        </w:rPr>
        <w:br/>
        <w:t xml:space="preserve">и раннего выявления незаконного потребления наркотических средств </w:t>
      </w:r>
      <w:r>
        <w:rPr>
          <w:rFonts w:ascii="Times New Roman" w:hAnsi="Times New Roman" w:cs="Times New Roman"/>
          <w:sz w:val="28"/>
          <w:szCs w:val="28"/>
        </w:rPr>
        <w:br/>
        <w:t xml:space="preserve">и психотропных веществ, создания и распространения в СМИ соответствующих материалов:</w:t>
      </w:r>
      <w:r>
        <w:rPr>
          <w:rFonts w:ascii="Times New Roman" w:hAnsi="Times New Roman" w:cs="Times New Roman"/>
          <w:sz w:val="28"/>
          <w:szCs w:val="28"/>
        </w:rPr>
      </w:r>
    </w:p>
    <w:p>
      <w:pPr>
        <w:pStyle w:val="1612"/>
        <w:spacing w:line="276"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ежегодный конкурс «Журналист года Югры» включена номинация </w:t>
      </w:r>
      <w:r>
        <w:rPr>
          <w:rFonts w:ascii="Times New Roman" w:hAnsi="Times New Roman" w:cs="Times New Roman"/>
          <w:color w:val="000000"/>
          <w:sz w:val="28"/>
          <w:szCs w:val="28"/>
        </w:rPr>
        <w:t xml:space="preserve">«Юный журналист года» – за лучшие материалы, подготовленные учащимися 5-11 классов общеобразовательных организаций, в том числе социальной направленности (антинаркотической, антиалкогольной, антитабачной, пропаганда здорового образа жизни),</w:t>
      </w:r>
      <w:r>
        <w:rPr>
          <w:rFonts w:ascii="Times New Roman" w:hAnsi="Times New Roman" w:cs="Times New Roman"/>
          <w:color w:val="000000"/>
          <w:sz w:val="28"/>
          <w:szCs w:val="28"/>
        </w:rPr>
      </w:r>
    </w:p>
    <w:p>
      <w:pPr>
        <w:pStyle w:val="1612"/>
        <w:spacing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направление «</w:t>
      </w:r>
      <w:r>
        <w:rPr>
          <w:rFonts w:ascii="Times New Roman" w:hAnsi="Times New Roman" w:cs="Times New Roman"/>
          <w:sz w:val="28"/>
          <w:szCs w:val="28"/>
        </w:rPr>
        <w:t xml:space="preserve">содействие развитию детско-юношеского </w:t>
      </w:r>
      <w:r>
        <w:rPr>
          <w:rFonts w:ascii="Times New Roman" w:hAnsi="Times New Roman" w:cs="Times New Roman"/>
          <w:sz w:val="28"/>
          <w:szCs w:val="28"/>
        </w:rPr>
        <w:br/>
        <w:t xml:space="preserve">и массового спорта в автономном округе, пропаганда здорового образа жизни, профилактика социально опасных форм поведения граждан» является одним из приоритетных направлений конкурсного отбора </w:t>
      </w:r>
      <w:r>
        <w:rPr>
          <w:rFonts w:ascii="Times New Roman" w:hAnsi="Times New Roman" w:cs="Times New Roman"/>
          <w:sz w:val="28"/>
          <w:szCs w:val="28"/>
        </w:rPr>
        <w:br/>
        <w:t xml:space="preserve">на предоставление грантов средствам массовой информации </w:t>
      </w:r>
      <w:r>
        <w:rPr>
          <w:rFonts w:ascii="Times New Roman" w:hAnsi="Times New Roman" w:cs="Times New Roman"/>
          <w:sz w:val="28"/>
          <w:szCs w:val="28"/>
        </w:rPr>
        <w:br/>
        <w:t xml:space="preserve">на реализацию социально значимых проектов,</w:t>
      </w:r>
      <w:r>
        <w:rPr>
          <w:rFonts w:ascii="Times New Roman" w:hAnsi="Times New Roman" w:cs="Times New Roman"/>
          <w:color w:val="000000"/>
          <w:sz w:val="28"/>
          <w:szCs w:val="28"/>
        </w:rPr>
      </w:r>
    </w:p>
    <w:p>
      <w:pPr>
        <w:spacing w:line="276" w:lineRule="auto"/>
        <w:ind w:firstLine="709"/>
      </w:pPr>
      <w:r>
        <w:rPr>
          <w:highlight w:val="white"/>
        </w:rPr>
        <w:t xml:space="preserve">во взаимодействии с Департаментом региональной безопасности автономного округа совместно с автономным учреждением автономного округа «Окружная телерадиокомпания «Югра» разработан медиаплан </w:t>
      </w:r>
      <w:r>
        <w:rPr>
          <w:highlight w:val="white"/>
        </w:rPr>
        <w:br/>
        <w:t xml:space="preserve">по освещению в течение 2025 года в средствах массовой коммуникации мероприятий, направленных на противодействие распространению незаконного потребления наркотических средств и психотропных веществ.</w:t>
      </w:r>
    </w:p>
    <w:p>
      <w:pPr>
        <w:spacing w:line="276" w:lineRule="auto"/>
        <w:ind w:firstLine="709"/>
        <w:rPr>
          <w:color w:val="000000" w:themeColor="text1"/>
        </w:rPr>
      </w:pPr>
      <w:r>
        <w:rPr>
          <w:color w:val="000000" w:themeColor="text1"/>
        </w:rPr>
        <w:t xml:space="preserve">В целях создания условий для альтернативных интересов и досуга несовершеннолетних Департамент молодежной политики, гражданских инициатив и внешних связей автономного округа совместно с органами </w:t>
      </w:r>
      <w:r>
        <w:rPr>
          <w:color w:val="000000" w:themeColor="text1"/>
        </w:rPr>
        <w:br/>
        <w:t xml:space="preserve">и учреждениями сферы молодежной политики муниципальных образований Югры при те</w:t>
      </w:r>
      <w:r>
        <w:rPr>
          <w:color w:val="000000" w:themeColor="text1"/>
        </w:rPr>
        <w:t xml:space="preserve">сном взаимодействии с социально ориентированными некоммерческими организациями и молодежными объединениями, в том числе с региональным отделением Общероссийского общественно-государственного движения детей и молодежи «Движение Первых», организует комплексн</w:t>
      </w:r>
      <w:r>
        <w:rPr>
          <w:color w:val="000000" w:themeColor="text1"/>
        </w:rPr>
        <w:t xml:space="preserve">ую работу, направленную на профилактику незаконного потребления наркотических средств и психотропных веществ, по правовому просвещению граждан, формированию навыков здорового образа жизни, созданию благоприятных условий для самореализации детей и молодежи.</w:t>
      </w:r>
      <w:r>
        <w:rPr>
          <w:color w:val="000000" w:themeColor="text1"/>
        </w:rPr>
      </w:r>
    </w:p>
    <w:p>
      <w:pPr>
        <w:spacing w:line="276" w:lineRule="auto"/>
        <w:ind w:firstLine="709"/>
      </w:pPr>
      <w:r>
        <w:t xml:space="preserve">Молодежные центры являются исполнителями профилактических мероприятий, которые проводятся на системной основе, в том числе:</w:t>
      </w:r>
    </w:p>
    <w:p>
      <w:pPr>
        <w:spacing w:line="276" w:lineRule="auto"/>
        <w:ind w:firstLine="709"/>
      </w:pPr>
      <w:r>
        <w:t xml:space="preserve">реализация проектов, направленных на пропаганду здорового образа жизни,</w:t>
      </w:r>
    </w:p>
    <w:p>
      <w:pPr>
        <w:spacing w:line="276" w:lineRule="auto"/>
        <w:ind w:firstLine="709"/>
      </w:pPr>
      <w:r>
        <w:t xml:space="preserve">содействие в трудоустройстве несовершеннолетних,</w:t>
      </w:r>
    </w:p>
    <w:p>
      <w:pPr>
        <w:spacing w:line="276" w:lineRule="auto"/>
        <w:ind w:firstLine="709"/>
      </w:pPr>
      <w:r>
        <w:t xml:space="preserve">вовлечение в клубы, объединения по интересам, в </w:t>
      </w:r>
      <w:r>
        <w:t xml:space="preserve">т.ч</w:t>
      </w:r>
      <w:r>
        <w:t xml:space="preserve">. в добровольческую деятельность,</w:t>
      </w:r>
    </w:p>
    <w:p>
      <w:pPr>
        <w:spacing w:line="276" w:lineRule="auto"/>
        <w:ind w:firstLine="709"/>
      </w:pPr>
      <w:r>
        <w:t xml:space="preserve">размещение материалов просветительского характера по вопросам формирования устойчивого негативного отношения к наркотикам </w:t>
      </w:r>
      <w:r>
        <w:br/>
        <w:t xml:space="preserve">и неприятия противоправного поведения. </w:t>
      </w:r>
    </w:p>
    <w:p>
      <w:pPr>
        <w:pBdr>
          <w:top w:val="none" w:color="000000" w:sz="4" w:space="0"/>
          <w:left w:val="none" w:color="000000" w:sz="4" w:space="0"/>
          <w:bottom w:val="none" w:color="000000" w:sz="4" w:space="0"/>
          <w:right w:val="none" w:color="000000" w:sz="4" w:space="0"/>
        </w:pBdr>
        <w:spacing w:line="276" w:lineRule="auto"/>
        <w:ind w:firstLine="709"/>
      </w:pPr>
      <w:r>
        <w:t xml:space="preserve">Молодежные центры внедряют методы работы, разработанные Федеральным подростковым центром. В соответствии с поручением Губернатора</w:t>
      </w:r>
      <w:r>
        <w:t xml:space="preserve"> Югры сформирована программа инфраструктурного развития сети молодежных центров. В 2025 году состоялся выездной аудит учреждений молодежной политики в муниципальных образованиях автономного округа, что позволило актуализировать применяемые форматы работы. </w:t>
      </w:r>
    </w:p>
    <w:p>
      <w:pPr>
        <w:pBdr>
          <w:top w:val="none" w:color="000000" w:sz="4" w:space="0"/>
          <w:left w:val="none" w:color="000000" w:sz="4" w:space="0"/>
          <w:bottom w:val="none" w:color="000000" w:sz="4" w:space="0"/>
          <w:right w:val="none" w:color="000000" w:sz="4" w:space="0"/>
        </w:pBdr>
        <w:spacing w:line="276" w:lineRule="auto"/>
        <w:ind w:firstLine="709"/>
      </w:pPr>
      <w:r>
        <w:t xml:space="preserve">Дополнительные меры и проекты включают предоставление муниципальным образованиям подборки документальных фильмов </w:t>
      </w:r>
      <w:r>
        <w:br/>
        <w:t xml:space="preserve">и социальных роликов, направленных на формирование здорового образа жизни и профилактику зависимостей, для демонстрации на мероприятиях молодежных центров. </w:t>
      </w:r>
    </w:p>
    <w:p>
      <w:pPr>
        <w:pBdr>
          <w:top w:val="none" w:color="000000" w:sz="4" w:space="0"/>
          <w:left w:val="none" w:color="000000" w:sz="4" w:space="0"/>
          <w:bottom w:val="none" w:color="000000" w:sz="4" w:space="0"/>
          <w:right w:val="none" w:color="000000" w:sz="4" w:space="0"/>
        </w:pBdr>
        <w:spacing w:line="276" w:lineRule="auto"/>
        <w:ind w:firstLine="709"/>
      </w:pPr>
      <w:r>
        <w:t xml:space="preserve">В систему воспитания и профилактики социально-негативных явлений среди подростков и молодежи активно включено региональное отделение Общественно-государственного движения детей и молодежи «Движение первых». В 2025 году</w:t>
      </w:r>
      <w:r>
        <w:t xml:space="preserve"> в муниципальных образованиях автономного округа действуют 22 местных отделения, открыты 594 первичных отделения, в которых зарегистрировано 92,8 тыс. человек. В социальные активности и реализацию проектов «Движения Первых» включены более 47000 участников.</w:t>
      </w:r>
    </w:p>
    <w:p>
      <w:pPr>
        <w:pBdr>
          <w:top w:val="none" w:color="000000" w:sz="4" w:space="0"/>
          <w:left w:val="none" w:color="000000" w:sz="4" w:space="0"/>
          <w:bottom w:val="none" w:color="000000" w:sz="4" w:space="0"/>
          <w:right w:val="none" w:color="000000" w:sz="4" w:space="0"/>
        </w:pBdr>
        <w:spacing w:line="276" w:lineRule="auto"/>
        <w:ind w:firstLine="709"/>
      </w:pPr>
      <w:r>
        <w:t xml:space="preserve">В рамках 12-ти направлений деятельности «Движения Первых» транслируются 11 ценностей, которые воспитывают в детях лояльность, единство и взаимоуважение, формируют навыки здорового образа жизни. На с</w:t>
      </w:r>
      <w:r>
        <w:t xml:space="preserve">истемной основе проводятся мероприятия, направленные на правовое просвещение о последствиях участия в распространении наркотических средств и психотропных веществ посредством деловых игр, дискуссий, встреч с экспертами, обсуждения мифов о «легких деньгах» </w:t>
      </w:r>
      <w:r>
        <w:br/>
        <w:t xml:space="preserve">и «безнаказанности несовершеннолетних», а также просмотра фильмов </w:t>
      </w:r>
      <w:r>
        <w:br/>
        <w:t xml:space="preserve">о молодых преступниках. Вторым направлением является просвещение </w:t>
      </w:r>
      <w:r>
        <w:br/>
        <w:t xml:space="preserve">о вреде здоровью при потреблении наркотических средств и психотропных </w:t>
      </w:r>
      <w:r>
        <w:t xml:space="preserve">веществ через мероприятия, формирующие культуру здорового </w:t>
      </w:r>
      <w:r>
        <w:br/>
        <w:t xml:space="preserve">и безопасного образа жизни.</w:t>
      </w:r>
    </w:p>
    <w:p>
      <w:pPr>
        <w:pBdr>
          <w:top w:val="none" w:color="000000" w:sz="4" w:space="0"/>
          <w:left w:val="none" w:color="000000" w:sz="4" w:space="0"/>
          <w:bottom w:val="none" w:color="000000" w:sz="4" w:space="0"/>
          <w:right w:val="none" w:color="000000" w:sz="4" w:space="0"/>
        </w:pBdr>
        <w:spacing w:line="276" w:lineRule="auto"/>
        <w:ind w:firstLine="709"/>
      </w:pPr>
      <w:r>
        <w:t xml:space="preserve">В 2025 году продолжена деятельность Ханты-Мансийского регионального отделения молодежной общероссийской общественной организации «Российские Студенческие Отряды». </w:t>
      </w:r>
    </w:p>
    <w:p>
      <w:pPr>
        <w:pBdr>
          <w:top w:val="none" w:color="000000" w:sz="4" w:space="0"/>
          <w:left w:val="none" w:color="000000" w:sz="4" w:space="0"/>
          <w:bottom w:val="none" w:color="000000" w:sz="4" w:space="0"/>
          <w:right w:val="none" w:color="000000" w:sz="4" w:space="0"/>
        </w:pBdr>
        <w:spacing w:line="276" w:lineRule="auto"/>
        <w:ind w:firstLine="709"/>
      </w:pPr>
      <w:r>
        <w:t xml:space="preserve">36 трудовых отрядов Югры насчитывают в своих рядах более 700 студентов. Летом 2025 года более 250 бойцов Российских студенческих отрядов из 9 субъектов РФ трудились на возведение мостового перехода через легендарную реку Обь в районе Сургута. Совместно </w:t>
      </w:r>
      <w:r>
        <w:br/>
        <w:t xml:space="preserve">с АО «Мостострой-11» участники РСО работали на финальном этапе: укладка дорожного полотна, установка знаков и ограждений. Открытие состоялось 15 октября 2025 года.</w:t>
      </w:r>
    </w:p>
    <w:p>
      <w:pPr>
        <w:pBdr>
          <w:top w:val="none" w:color="000000" w:sz="4" w:space="0"/>
          <w:left w:val="none" w:color="000000" w:sz="4" w:space="0"/>
          <w:bottom w:val="none" w:color="000000" w:sz="4" w:space="0"/>
          <w:right w:val="none" w:color="000000" w:sz="4" w:space="0"/>
        </w:pBdr>
        <w:spacing w:line="276" w:lineRule="auto"/>
        <w:ind w:firstLine="709"/>
      </w:pPr>
      <w:r>
        <w:t xml:space="preserve">Организован конкурс социального </w:t>
      </w:r>
      <w:r>
        <w:t xml:space="preserve">медиаконтента</w:t>
      </w:r>
      <w:r>
        <w:t xml:space="preserve"> «Голос поколений 2025». Указанное мероприятие позволило привлечь к созданию социально значимого контента жителей автономного округа в возрасте </w:t>
      </w:r>
      <w:r>
        <w:br/>
        <w:t xml:space="preserve">от 14 до 35 лет, в том числе по тематикам правового просвещения </w:t>
      </w:r>
      <w:r>
        <w:br/>
        <w:t xml:space="preserve">о последствиях участия в распространении наркотических средств, психотропных веществ и их </w:t>
      </w:r>
      <w:r>
        <w:t xml:space="preserve">прекурсоров</w:t>
      </w:r>
      <w:r>
        <w:t xml:space="preserve">, а также о вреде здоровью </w:t>
      </w:r>
      <w:r>
        <w:br/>
        <w:t xml:space="preserve">при потреблении наркотических средств.</w:t>
      </w:r>
    </w:p>
    <w:p>
      <w:pPr>
        <w:pBdr>
          <w:top w:val="none" w:color="000000" w:sz="4" w:space="0"/>
          <w:left w:val="none" w:color="000000" w:sz="4" w:space="0"/>
          <w:bottom w:val="none" w:color="000000" w:sz="4" w:space="0"/>
          <w:right w:val="none" w:color="000000" w:sz="4" w:space="0"/>
        </w:pBdr>
        <w:spacing w:line="276" w:lineRule="auto"/>
        <w:ind w:firstLine="709"/>
      </w:pPr>
      <w:r>
        <w:t xml:space="preserve">В целях повышения эффективности реализации молодежной политики также проводится работа по расширению перечня объектов недвижимого имущества для учреждений молодежной политики. </w:t>
      </w:r>
    </w:p>
    <w:p>
      <w:pPr>
        <w:pBdr>
          <w:top w:val="none" w:color="000000" w:sz="4" w:space="0"/>
          <w:left w:val="none" w:color="000000" w:sz="4" w:space="0"/>
          <w:bottom w:val="none" w:color="000000" w:sz="4" w:space="0"/>
          <w:right w:val="none" w:color="000000" w:sz="4" w:space="0"/>
        </w:pBdr>
        <w:spacing w:line="276" w:lineRule="auto"/>
        <w:ind w:firstLine="709"/>
      </w:pPr>
      <w:r>
        <w:t xml:space="preserve">В 2025 году реализовано два инвестиционных проекта </w:t>
      </w:r>
      <w:r>
        <w:br/>
        <w:t xml:space="preserve">по приобретению за счет средств бюджета автономного округа объектов недвижимого имущества в г. </w:t>
      </w:r>
      <w:r>
        <w:t xml:space="preserve">Лянтор</w:t>
      </w:r>
      <w:r>
        <w:t xml:space="preserve"> (Сургутский район) и г. Белоярский (Белоярский район) для размещения молодежных центров, местн</w:t>
      </w:r>
      <w:r>
        <w:t xml:space="preserve">ых отделений регионального отделения Общероссийского общественно-государственного движения детей и молодежи «Движение Первых». На базе созданных молодежных пространств в 2025 году реализованы мероприятия, в которых приняло участие 7452 человек, из них: г. </w:t>
      </w:r>
      <w:r>
        <w:t xml:space="preserve">Лянтор</w:t>
      </w:r>
      <w:r>
        <w:t xml:space="preserve"> – 4720 человек, </w:t>
      </w:r>
      <w:r>
        <w:br/>
        <w:t xml:space="preserve">г. Белоярский – 2732 человека.</w:t>
      </w:r>
    </w:p>
    <w:p>
      <w:pPr>
        <w:pBdr>
          <w:top w:val="none" w:color="000000" w:sz="4" w:space="0"/>
          <w:left w:val="none" w:color="000000" w:sz="4" w:space="0"/>
          <w:bottom w:val="none" w:color="000000" w:sz="4" w:space="0"/>
          <w:right w:val="none" w:color="000000" w:sz="4" w:space="0"/>
        </w:pBdr>
        <w:spacing w:line="276" w:lineRule="auto"/>
        <w:ind w:firstLine="709"/>
      </w:pPr>
      <w:r>
        <w:t xml:space="preserve">Обеспечивается развитие инфраструктуры молодежной политики </w:t>
      </w:r>
      <w:r>
        <w:br/>
        <w:t xml:space="preserve">за счет привлечения средств из федерального бюджета. Подготовлены </w:t>
      </w:r>
      <w:r>
        <w:br/>
        <w:t xml:space="preserve">и поданы заявки авто</w:t>
      </w:r>
      <w:r>
        <w:t xml:space="preserve">номного округа на участие во Всероссийских конкурсах программ комплексного развития молодежной политики в субъектах Российской Федерации «Регион для молодых» в 2023 году, в 2024 году и 2025 году. По результатам участия в Конкурсах автономный округ признан </w:t>
      </w:r>
      <w:r>
        <w:t xml:space="preserve">победителем и в апреле 20</w:t>
      </w:r>
      <w:r>
        <w:t xml:space="preserve">24 года при участии Президента Российской Федерации В.В. Путина состоялось открытие в Ханты-Мансийске круглогодичного молодежного образовательного центра «Добрино» по направлению «Общественные инициативы, развитие гражданского общества и добровольчества». </w:t>
      </w:r>
    </w:p>
    <w:p>
      <w:pPr>
        <w:pBdr>
          <w:top w:val="none" w:color="000000" w:sz="4" w:space="0"/>
          <w:left w:val="none" w:color="000000" w:sz="4" w:space="0"/>
          <w:bottom w:val="none" w:color="000000" w:sz="4" w:space="0"/>
          <w:right w:val="none" w:color="000000" w:sz="4" w:space="0"/>
        </w:pBdr>
        <w:spacing w:line="276" w:lineRule="auto"/>
        <w:ind w:firstLine="709"/>
      </w:pPr>
      <w:r>
        <w:t xml:space="preserve">При этом в 2025 году также реализуется инвестиционный проект</w:t>
      </w:r>
      <w:r>
        <w:br/>
        <w:t xml:space="preserve">по строительству объекта «Круглогодичный образовательный центр компетенций» в д. Ярки (Ханты-Мансийский район).</w:t>
      </w:r>
    </w:p>
    <w:p>
      <w:pPr>
        <w:pBdr>
          <w:top w:val="none" w:color="000000" w:sz="4" w:space="0"/>
          <w:left w:val="none" w:color="000000" w:sz="4" w:space="0"/>
          <w:bottom w:val="none" w:color="000000" w:sz="4" w:space="0"/>
          <w:right w:val="none" w:color="000000" w:sz="4" w:space="0"/>
        </w:pBdr>
        <w:spacing w:line="276" w:lineRule="auto"/>
        <w:ind w:firstLine="709"/>
      </w:pPr>
      <w:r>
        <w:t xml:space="preserve">В 2025 году привлечено федеральное финансирование в размере </w:t>
      </w:r>
      <w:r>
        <w:br/>
        <w:t xml:space="preserve">56296,8 тыс. рублей на развитие регионального молодежного центра.</w:t>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rPr>
          <w:color w:val="000000" w:themeColor="text1"/>
        </w:rPr>
        <w:t xml:space="preserve">В части принятия мер, направленных на повышение межведомственного взаимодействия по профилактике незаконного потребления наркотических средств и психотропных веществ среди детей, подростков и молодежи, организована следующая работа:</w:t>
      </w:r>
      <w:r>
        <w:rPr>
          <w:color w:val="000000" w:themeColor="text1"/>
        </w:rPr>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rPr>
          <w:color w:val="000000" w:themeColor="text1"/>
        </w:rPr>
        <w:t xml:space="preserve">реализуется Комплекс мер по профилактике негативных социальных явлений в детской и молодежной среде в Югре на 2025-2026 годы</w:t>
      </w:r>
      <w:r>
        <w:rPr>
          <w:rStyle w:val="1618"/>
          <w:color w:val="000000" w:themeColor="text1"/>
        </w:rPr>
        <w:footnoteReference w:id="44"/>
      </w:r>
      <w:r>
        <w:rPr>
          <w:color w:val="000000" w:themeColor="text1"/>
        </w:rPr>
        <w:t xml:space="preserve">, основанный на принципах межведомственного взаимодействия </w:t>
      </w:r>
      <w:r>
        <w:rPr>
          <w:color w:val="000000" w:themeColor="text1"/>
        </w:rPr>
        <w:br/>
        <w:t xml:space="preserve">и рекомендациях Федерального агентства по делам молодежи, который способствует повышению эффективности правового просвещения подростков и молодежи о последствиях участия в распространении наркотических средств, психотропных веществ и их </w:t>
      </w:r>
      <w:r>
        <w:rPr>
          <w:color w:val="000000" w:themeColor="text1"/>
        </w:rPr>
        <w:t xml:space="preserve">прекурсоров</w:t>
      </w:r>
      <w:r>
        <w:rPr>
          <w:color w:val="000000" w:themeColor="text1"/>
        </w:rPr>
        <w:t xml:space="preserve">, а также о вреде здоровью при потреблении наркотических средств.</w:t>
      </w:r>
      <w:r>
        <w:rPr>
          <w:color w:val="000000" w:themeColor="text1"/>
        </w:rPr>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t xml:space="preserve">В апреле-июне 2025 года специалистами АНО «Молодежный центр Югры» проведены </w:t>
      </w:r>
      <w:r>
        <w:rPr>
          <w:highlight w:val="white"/>
        </w:rPr>
        <w:t xml:space="preserve">образовательные семинары, направленные </w:t>
      </w:r>
      <w:r>
        <w:rPr>
          <w:highlight w:val="white"/>
        </w:rPr>
        <w:br/>
        <w:t xml:space="preserve">на </w:t>
      </w:r>
      <w:r>
        <w:t xml:space="preserve">повышение профессиональных компетенций специалистов, работающих с подростками, молодежью и молодыми семьями в сфере профилактики</w:t>
      </w:r>
      <w:r>
        <w:rPr>
          <w:highlight w:val="white"/>
        </w:rPr>
        <w:t xml:space="preserve"> (города Сургут, 23.04.2025; Нижневартовск 25.04.2025; Нефтеюганск, 29.04.2025; </w:t>
      </w:r>
      <w:r>
        <w:rPr>
          <w:bCs/>
          <w:highlight w:val="white"/>
        </w:rPr>
        <w:t xml:space="preserve">Югорск</w:t>
      </w:r>
      <w:r>
        <w:rPr>
          <w:bCs/>
          <w:highlight w:val="white"/>
        </w:rPr>
        <w:t xml:space="preserve">, 06.06.2025; Ханты-Мансийск, 16-17.06.2025)</w:t>
      </w:r>
      <w:r>
        <w:rPr>
          <w:bCs/>
        </w:rPr>
        <w:t xml:space="preserve">. Участниками мероприятий стали </w:t>
      </w:r>
      <w:r>
        <w:t xml:space="preserve">625 специалистов из учреждений молодежной политики, образования, социальной защиты, подразделений по делам несовершеннолетних МВД.</w:t>
      </w:r>
      <w:r>
        <w:rPr>
          <w:color w:val="000000" w:themeColor="text1"/>
        </w:rPr>
      </w:r>
    </w:p>
    <w:p>
      <w:pPr>
        <w:pStyle w:val="1648"/>
        <w:spacing w:line="276" w:lineRule="auto"/>
        <w:ind w:firstLine="709"/>
        <w:jc w:val="both"/>
        <w:rPr>
          <w:b w:val="0"/>
          <w:bCs w:val="0"/>
        </w:rPr>
      </w:pPr>
      <w:r>
        <w:rPr>
          <w:b w:val="0"/>
          <w:bCs w:val="0"/>
        </w:rPr>
        <w:t xml:space="preserve">Организован</w:t>
      </w:r>
      <w:r>
        <w:rPr>
          <w:b w:val="0"/>
          <w:bCs w:val="0"/>
          <w:highlight w:val="white"/>
        </w:rPr>
        <w:t xml:space="preserve"> окружной семинар-совещание руководителей органов </w:t>
      </w:r>
      <w:r>
        <w:rPr>
          <w:b w:val="0"/>
          <w:bCs w:val="0"/>
          <w:highlight w:val="white"/>
        </w:rPr>
        <w:br/>
        <w:t xml:space="preserve">и учреждений молодежной политики «Пов</w:t>
      </w:r>
      <w:r>
        <w:rPr>
          <w:b w:val="0"/>
          <w:bCs w:val="0"/>
        </w:rPr>
        <w:t xml:space="preserve">ышение качества реализации молодежной политики в Югре: люди, данные, технологии» (Белоярский район, 24.10.2025), на котором организовано выступление Белова С.И., доцента кафедры российской политики Московского государственного </w:t>
      </w:r>
      <w:r>
        <w:rPr>
          <w:b w:val="0"/>
          <w:bCs w:val="0"/>
        </w:rPr>
        <w:t xml:space="preserve">уни</w:t>
      </w:r>
      <w:r>
        <w:rPr>
          <w:b w:val="0"/>
          <w:bCs w:val="0"/>
        </w:rPr>
        <w:t xml:space="preserve">верситета. В семинаре приняли участие 56 представителей муниципальных образований автономного округа. Кроме того, эксперт провел просветительскую работу с 35 сотрудниками муниципальных учреждений молодежной политики, образования, спорта и культуры района. </w:t>
      </w:r>
      <w:r>
        <w:rPr>
          <w:b w:val="0"/>
          <w:bCs w:val="0"/>
        </w:rPr>
      </w:r>
    </w:p>
    <w:p>
      <w:pPr>
        <w:pStyle w:val="1648"/>
        <w:spacing w:line="276" w:lineRule="auto"/>
        <w:ind w:firstLine="709"/>
        <w:jc w:val="both"/>
        <w:rPr>
          <w:b w:val="0"/>
          <w:bCs w:val="0"/>
          <w:highlight w:val="white"/>
        </w:rPr>
      </w:pPr>
      <w:r>
        <w:rPr>
          <w:b w:val="0"/>
          <w:bCs w:val="0"/>
        </w:rPr>
        <w:t xml:space="preserve">Совместно с Комиссией по делам несовершеннолетних и защите их прав при Правительстве автономного округа проведен </w:t>
      </w:r>
      <w:r>
        <w:rPr>
          <w:b w:val="0"/>
          <w:bCs w:val="0"/>
          <w:highlight w:val="white"/>
        </w:rPr>
        <w:t xml:space="preserve">семинар-совещание для руководителей и специалистов, помогающих сообществ, работающих </w:t>
      </w:r>
      <w:r>
        <w:rPr>
          <w:b w:val="0"/>
          <w:bCs w:val="0"/>
          <w:highlight w:val="white"/>
        </w:rPr>
        <w:br/>
        <w:t xml:space="preserve">с подростками, молодежью и молодыми семьями в сфере профилактики </w:t>
      </w:r>
      <w:r>
        <w:rPr>
          <w:b w:val="0"/>
          <w:bCs w:val="0"/>
          <w:highlight w:val="white"/>
        </w:rPr>
        <w:br/>
        <w:t xml:space="preserve">(г. Ханты-Мансийск, 26.11.2025). В семинаре-совещании обеспечено участие экспертов автономной некоммерческой организации социальной, психологической и правовой помощи «Центр защиты и развития личности» (проект «Молодежная Служба Безопасности») – </w:t>
      </w:r>
      <w:r>
        <w:rPr>
          <w:b w:val="0"/>
          <w:bCs w:val="0"/>
          <w:highlight w:val="white"/>
        </w:rPr>
        <w:t xml:space="preserve">Армера</w:t>
      </w:r>
      <w:r>
        <w:rPr>
          <w:b w:val="0"/>
          <w:bCs w:val="0"/>
          <w:highlight w:val="white"/>
        </w:rPr>
        <w:t xml:space="preserve"> Л.А., Маслакова И.А. и Архипова М.И.</w:t>
      </w:r>
      <w:r>
        <w:rPr>
          <w:b w:val="0"/>
          <w:bCs w:val="0"/>
          <w:highlight w:val="white"/>
        </w:rPr>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rPr>
          <w:color w:val="000000" w:themeColor="text1"/>
        </w:rPr>
        <w:t xml:space="preserve">С сентября 2024 года в автономном округе реализуется информационно-просветительский проект для родителей и специалистов «Будем рядом» (ссылка на </w:t>
      </w:r>
      <w:r>
        <w:rPr>
          <w:color w:val="000000" w:themeColor="text1"/>
        </w:rPr>
        <w:t xml:space="preserve">Telegram</w:t>
      </w:r>
      <w:r>
        <w:rPr>
          <w:color w:val="000000" w:themeColor="text1"/>
        </w:rPr>
        <w:t xml:space="preserve">: t.me/</w:t>
      </w:r>
      <w:r>
        <w:rPr>
          <w:color w:val="000000" w:themeColor="text1"/>
        </w:rPr>
        <w:t xml:space="preserve">budem_ryadom_ugra</w:t>
      </w:r>
      <w:r>
        <w:rPr>
          <w:color w:val="000000" w:themeColor="text1"/>
        </w:rPr>
        <w:t xml:space="preserve">), направленный на поддержку родителей, специалистов по работе с детьми </w:t>
      </w:r>
      <w:r>
        <w:rPr>
          <w:color w:val="000000" w:themeColor="text1"/>
        </w:rPr>
        <w:br/>
        <w:t xml:space="preserve">и молодежью, а также детей и подростков. </w:t>
      </w:r>
      <w:r>
        <w:rPr>
          <w:color w:val="000000" w:themeColor="text1"/>
        </w:rPr>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rPr>
          <w:color w:val="000000" w:themeColor="text1"/>
        </w:rPr>
        <w:t xml:space="preserve">Основная цель проекта – создание комплексной си</w:t>
      </w:r>
      <w:r>
        <w:rPr>
          <w:color w:val="000000" w:themeColor="text1"/>
        </w:rPr>
        <w:t xml:space="preserve">стемы поддержки, обеспечивающей безопасность, благополучие и позитивное развитие детей и молодежи через просвещение и вовлечение всех заинтересованных сторон. Проект предполагает изготовление и размещение в социальных сетях подкастов с экспертами по темам </w:t>
      </w:r>
      <w:r>
        <w:rPr>
          <w:color w:val="000000" w:themeColor="text1"/>
        </w:rPr>
        <w:t xml:space="preserve">девиантного</w:t>
      </w:r>
      <w:r>
        <w:rPr>
          <w:color w:val="000000" w:themeColor="text1"/>
        </w:rPr>
        <w:t xml:space="preserve"> поведения, вредных зависимостей, жизненных ориентиров, методов разрешения конфликтов, безопасности подростков и формирования счастливой семейной среды. </w:t>
      </w:r>
      <w:r>
        <w:rPr>
          <w:color w:val="000000" w:themeColor="text1"/>
        </w:rPr>
        <w:br/>
        <w:t xml:space="preserve">С 2025 года мероприятия проекта реализуются в рамках национального проекта «Молодежь и дети».</w:t>
      </w:r>
      <w:r>
        <w:rPr>
          <w:color w:val="000000" w:themeColor="text1"/>
        </w:rPr>
      </w:r>
    </w:p>
    <w:p>
      <w:pPr>
        <w:pBdr>
          <w:top w:val="none" w:color="000000" w:sz="4" w:space="0"/>
          <w:left w:val="none" w:color="000000" w:sz="4" w:space="0"/>
          <w:bottom w:val="none" w:color="000000" w:sz="4" w:space="0"/>
          <w:right w:val="none" w:color="000000" w:sz="4" w:space="0"/>
        </w:pBdr>
        <w:spacing w:line="276" w:lineRule="auto"/>
        <w:ind w:firstLine="709"/>
        <w:rPr>
          <w:color w:val="000000" w:themeColor="text1"/>
        </w:rPr>
      </w:pPr>
      <w:r>
        <w:rPr>
          <w:color w:val="000000" w:themeColor="text1"/>
        </w:rPr>
        <w:t xml:space="preserve">Организуются тематические семинары-тренинги и мотивационные семинары-практикумы с привлечением специалистов-психологов как для молодежи, так и для специалистов, работающих с подростками </w:t>
      </w:r>
      <w:r>
        <w:rPr>
          <w:color w:val="000000" w:themeColor="text1"/>
        </w:rPr>
        <w:br/>
        <w:t xml:space="preserve">и молодежью, сопровождающиеся распространением информационных материалов.</w:t>
      </w:r>
      <w:r>
        <w:rPr>
          <w:color w:val="000000" w:themeColor="text1"/>
        </w:rPr>
      </w:r>
    </w:p>
    <w:p>
      <w:pPr>
        <w:tabs>
          <w:tab w:val="left" w:pos="6646" w:leader="none"/>
        </w:tabs>
        <w:spacing w:line="276" w:lineRule="auto"/>
        <w:ind w:firstLine="709"/>
        <w:rPr>
          <w:sz w:val="24"/>
          <w:szCs w:val="24"/>
        </w:rPr>
      </w:pPr>
      <w:r>
        <w:rPr>
          <w:color w:val="000000"/>
        </w:rPr>
        <w:t xml:space="preserve">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r>
        <w:rPr>
          <w:sz w:val="24"/>
          <w:szCs w:val="24"/>
        </w:rPr>
      </w:r>
    </w:p>
    <w:p>
      <w:pPr>
        <w:tabs>
          <w:tab w:val="left" w:pos="6646" w:leader="none"/>
        </w:tabs>
        <w:spacing w:line="276" w:lineRule="auto"/>
        <w:ind w:firstLine="709"/>
        <w:rPr>
          <w:sz w:val="24"/>
          <w:szCs w:val="24"/>
        </w:rPr>
      </w:pPr>
      <w:r>
        <w:rPr>
          <w:color w:val="000000"/>
        </w:rPr>
        <w:t xml:space="preserve">«Современное здравоохранение»;</w:t>
      </w:r>
      <w:r>
        <w:rPr>
          <w:sz w:val="24"/>
          <w:szCs w:val="24"/>
        </w:rPr>
      </w:r>
    </w:p>
    <w:p>
      <w:pPr>
        <w:tabs>
          <w:tab w:val="left" w:pos="6646" w:leader="none"/>
        </w:tabs>
        <w:spacing w:line="276" w:lineRule="auto"/>
        <w:ind w:firstLine="709"/>
        <w:rPr>
          <w:sz w:val="24"/>
          <w:szCs w:val="24"/>
        </w:rPr>
      </w:pPr>
      <w:r>
        <w:rPr>
          <w:color w:val="000000"/>
        </w:rPr>
        <w:t xml:space="preserve">«Развитие образования»;</w:t>
      </w:r>
      <w:r>
        <w:rPr>
          <w:sz w:val="24"/>
          <w:szCs w:val="24"/>
        </w:rPr>
      </w:r>
    </w:p>
    <w:p>
      <w:pPr>
        <w:tabs>
          <w:tab w:val="left" w:pos="6646" w:leader="none"/>
        </w:tabs>
        <w:spacing w:line="276" w:lineRule="auto"/>
        <w:ind w:firstLine="709"/>
        <w:rPr>
          <w:spacing w:val="-4"/>
          <w:sz w:val="24"/>
          <w:szCs w:val="24"/>
        </w:rPr>
      </w:pPr>
      <w:r>
        <w:rPr>
          <w:color w:val="000000"/>
          <w:spacing w:val="-4"/>
        </w:rPr>
        <w:t xml:space="preserve">«Безопасность жизнедеятельности и профилактика правонарушений». </w:t>
      </w:r>
      <w:r>
        <w:rPr>
          <w:spacing w:val="-4"/>
          <w:sz w:val="24"/>
          <w:szCs w:val="24"/>
        </w:rPr>
      </w:r>
    </w:p>
    <w:p>
      <w:pPr>
        <w:tabs>
          <w:tab w:val="left" w:pos="6646" w:leader="none"/>
        </w:tabs>
        <w:spacing w:line="276" w:lineRule="auto"/>
        <w:ind w:firstLine="709"/>
        <w:rPr>
          <w:sz w:val="24"/>
          <w:szCs w:val="24"/>
        </w:rPr>
      </w:pPr>
      <w:r>
        <w:rPr>
          <w:color w:val="000000"/>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w:t>
      </w:r>
      <w:r>
        <w:rPr>
          <w:color w:val="000000"/>
        </w:rPr>
        <w:br/>
        <w:t xml:space="preserve"> с порядками оказания медицинской помощи по указанному профилю, медицинскими стандартами оказания наркологической помощи. </w:t>
      </w:r>
      <w:r>
        <w:rPr>
          <w:sz w:val="24"/>
          <w:szCs w:val="24"/>
        </w:rPr>
      </w:r>
    </w:p>
    <w:p>
      <w:pPr>
        <w:tabs>
          <w:tab w:val="left" w:pos="6646" w:leader="none"/>
        </w:tabs>
        <w:spacing w:line="276" w:lineRule="auto"/>
        <w:ind w:firstLine="709"/>
        <w:rPr>
          <w:sz w:val="24"/>
          <w:szCs w:val="24"/>
        </w:rPr>
      </w:pPr>
      <w:r>
        <w:rPr>
          <w:color w:val="000000"/>
        </w:rPr>
        <w:t xml:space="preserve">Дополнительно в медицинских организациях автономного округа реализуется трехуровневая система оказания медицинской помощи</w:t>
      </w:r>
      <w:r>
        <w:rPr>
          <w:color w:val="000000"/>
        </w:rPr>
        <w:br/>
        <w:t xml:space="preserve">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r>
        <w:rPr>
          <w:sz w:val="24"/>
          <w:szCs w:val="24"/>
        </w:rPr>
      </w:r>
    </w:p>
    <w:p>
      <w:pPr>
        <w:tabs>
          <w:tab w:val="left" w:pos="6646" w:leader="none"/>
        </w:tabs>
        <w:spacing w:line="276" w:lineRule="auto"/>
        <w:ind w:firstLine="709"/>
        <w:rPr>
          <w:sz w:val="24"/>
          <w:szCs w:val="24"/>
        </w:rPr>
      </w:pPr>
      <w:r>
        <w:rPr>
          <w:color w:val="000000"/>
        </w:rPr>
        <w:t xml:space="preserve">В настоящее время реализуются следующие перспективные мероприятия в системе здравоохранения автономного округа:</w:t>
      </w:r>
      <w:r>
        <w:rPr>
          <w:sz w:val="24"/>
          <w:szCs w:val="24"/>
        </w:rPr>
      </w:r>
    </w:p>
    <w:p>
      <w:pPr>
        <w:tabs>
          <w:tab w:val="left" w:pos="6646" w:leader="none"/>
        </w:tabs>
        <w:spacing w:line="276" w:lineRule="auto"/>
        <w:ind w:firstLine="709"/>
        <w:rPr>
          <w:sz w:val="24"/>
          <w:szCs w:val="24"/>
        </w:rPr>
      </w:pPr>
      <w:r>
        <w:rPr>
          <w:color w:val="000000"/>
        </w:rPr>
        <w:t xml:space="preserve">- развитие и совершенствование системы раннего выявления потребителей наркотических средств и психотропных веществ;</w:t>
      </w:r>
      <w:r>
        <w:rPr>
          <w:sz w:val="24"/>
          <w:szCs w:val="24"/>
        </w:rPr>
      </w:r>
    </w:p>
    <w:p>
      <w:pPr>
        <w:tabs>
          <w:tab w:val="left" w:pos="6646" w:leader="none"/>
        </w:tabs>
        <w:spacing w:line="276" w:lineRule="auto"/>
        <w:ind w:firstLine="709"/>
        <w:rPr>
          <w:sz w:val="24"/>
          <w:szCs w:val="24"/>
        </w:rPr>
      </w:pPr>
      <w:r>
        <w:rPr>
          <w:color w:val="000000"/>
        </w:rPr>
        <w:t xml:space="preserve">- совершенствование организации и проведения профилактических мероприятий с группами риска возникновения наркологических расстройств;</w:t>
      </w:r>
      <w:r>
        <w:rPr>
          <w:sz w:val="24"/>
          <w:szCs w:val="24"/>
        </w:rPr>
      </w:r>
    </w:p>
    <w:p>
      <w:pPr>
        <w:tabs>
          <w:tab w:val="left" w:pos="6646" w:leader="none"/>
        </w:tabs>
        <w:spacing w:line="276" w:lineRule="auto"/>
        <w:ind w:firstLine="709"/>
        <w:rPr>
          <w:sz w:val="24"/>
          <w:szCs w:val="24"/>
        </w:rPr>
      </w:pPr>
      <w:r>
        <w:rPr>
          <w:color w:val="000000"/>
        </w:rPr>
        <w:t xml:space="preserve">- 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rPr>
          <w:sz w:val="24"/>
          <w:szCs w:val="24"/>
        </w:rPr>
      </w:r>
    </w:p>
    <w:p>
      <w:pPr>
        <w:tabs>
          <w:tab w:val="left" w:pos="6646" w:leader="none"/>
        </w:tabs>
        <w:spacing w:line="276" w:lineRule="auto"/>
        <w:ind w:firstLine="709"/>
        <w:rPr>
          <w:sz w:val="24"/>
          <w:szCs w:val="24"/>
        </w:rPr>
      </w:pPr>
      <w:r>
        <w:rPr>
          <w:color w:val="000000"/>
        </w:rPr>
        <w:t xml:space="preserve">- формирование системы профилактического медицинского вмешательства, направленного на просвещени</w:t>
      </w:r>
      <w:r>
        <w:rPr>
          <w:color w:val="000000"/>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4"/>
          <w:szCs w:val="24"/>
        </w:rPr>
      </w:r>
    </w:p>
    <w:p>
      <w:pPr>
        <w:tabs>
          <w:tab w:val="left" w:pos="6646" w:leader="none"/>
        </w:tabs>
        <w:spacing w:line="276" w:lineRule="auto"/>
        <w:ind w:firstLine="709"/>
        <w:rPr>
          <w:sz w:val="24"/>
          <w:szCs w:val="24"/>
        </w:rPr>
      </w:pPr>
      <w:r>
        <w:rPr>
          <w:color w:val="000000"/>
        </w:rPr>
        <w:t xml:space="preserve">- проведение телемедицинских консультаций на региональном и федеральном уровне.</w:t>
      </w:r>
      <w:r>
        <w:rPr>
          <w:sz w:val="24"/>
          <w:szCs w:val="24"/>
        </w:rPr>
      </w:r>
    </w:p>
    <w:p>
      <w:pPr>
        <w:tabs>
          <w:tab w:val="left" w:pos="1134" w:leader="none"/>
        </w:tabs>
        <w:spacing w:line="276" w:lineRule="auto"/>
        <w:ind w:firstLine="709"/>
        <w:rPr>
          <w:sz w:val="24"/>
          <w:szCs w:val="24"/>
        </w:rPr>
      </w:pPr>
      <w:r>
        <w:rPr>
          <w:color w:val="000000"/>
        </w:rPr>
        <w:t xml:space="preserve">В 2025 году были реализованы мероприятия организационно-методического руководства и телемедицинского консультирования с ФГБУ «</w:t>
      </w:r>
      <w:r>
        <w:rPr>
          <w:color w:val="000000"/>
        </w:rPr>
        <w:t xml:space="preserve">Национальный медицинский исследовательский центр психиатрии и наркологии имени В.П. Сербского» Минздрава России в рамках дополнительного соглашения № 1 к Соглашению о взаимодействии между Министерством здравоохранения Российской Федерации и Правительством </w:t>
      </w:r>
      <w:r>
        <w:rPr>
          <w:color w:val="000000"/>
        </w:rPr>
        <w:t xml:space="preserve">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r>
        <w:rPr>
          <w:sz w:val="24"/>
          <w:szCs w:val="24"/>
        </w:rPr>
      </w:r>
    </w:p>
    <w:p>
      <w:pPr>
        <w:spacing w:line="276" w:lineRule="auto"/>
        <w:ind w:firstLine="709"/>
      </w:pPr>
      <w:r>
        <w:rPr>
          <w:color w:val="000000" w:themeColor="text1"/>
        </w:rPr>
        <w:t xml:space="preserve">В рамках формирования единого </w:t>
      </w:r>
      <w:r>
        <w:rPr>
          <w:color w:val="000000" w:themeColor="text1"/>
        </w:rPr>
        <w:t xml:space="preserve">медиапространства</w:t>
      </w:r>
      <w:r>
        <w:rPr>
          <w:color w:val="000000" w:themeColor="text1"/>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p>
    <w:p>
      <w:pPr>
        <w:spacing w:line="276" w:lineRule="auto"/>
        <w:ind w:firstLine="709"/>
      </w:pPr>
      <w:r>
        <w:rPr>
          <w:color w:val="000000" w:themeColor="text1"/>
        </w:rPr>
        <w:t xml:space="preserve">Для отслеживания результатов информационно-коммуникационной кампании</w:t>
      </w:r>
      <w:r>
        <w:rPr>
          <w:color w:val="000000" w:themeColor="text1"/>
        </w:rPr>
        <w:t xml:space="preserve">, проверки актуальности публикуемых данных и анализа качества проводимой работы на официальном сайте БУ «Центр общественного здоровья и медицинской профилактики» http://cmphmao.ru функционирует система оперативного мониторинга средств массовой информации. </w:t>
      </w:r>
      <w:r>
        <w:rPr>
          <w:color w:val="000000" w:themeColor="text1"/>
        </w:rPr>
        <w:br/>
        <w:t xml:space="preserve">В каждой медицинской организации назначен информационный уполномоченный, который ежедневно заполняет отчет о размещенных материалах в СМИ.</w:t>
      </w:r>
    </w:p>
    <w:p>
      <w:pPr>
        <w:spacing w:line="276" w:lineRule="auto"/>
        <w:ind w:firstLine="709"/>
      </w:pPr>
      <w:r>
        <w:rPr>
          <w:color w:val="000000" w:themeColor="text1"/>
        </w:rPr>
        <w:t xml:space="preserve">Количество информационных сообщений и информационных материалов для населения в печатных СМИ, теле- и радиоэфире, а также </w:t>
      </w:r>
      <w:r>
        <w:rPr>
          <w:color w:val="000000" w:themeColor="text1"/>
        </w:rPr>
        <w:br/>
        <w:t xml:space="preserve">в интернете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составило 2072.</w:t>
      </w:r>
    </w:p>
    <w:p>
      <w:pPr>
        <w:spacing w:line="276" w:lineRule="auto"/>
        <w:ind w:firstLine="709"/>
      </w:pPr>
      <w:r>
        <w:rPr>
          <w:color w:val="000000" w:themeColor="text1"/>
        </w:rPr>
        <w:t xml:space="preserve">Ос</w:t>
      </w:r>
      <w:r>
        <w:rPr>
          <w:color w:val="000000" w:themeColor="text1"/>
        </w:rPr>
        <w:t xml:space="preserve">новными площадками по распространению информации выступают официальные сайты и группы Департамента здравоохранения автономного округа и подведомственных медицинских организаций в социальных сетях, в числе которых 230 официальных публичных страниц, из них; </w:t>
      </w:r>
      <w:r>
        <w:rPr>
          <w:color w:val="000000" w:themeColor="text1"/>
        </w:rPr>
        <w:t xml:space="preserve">ВКонтакте</w:t>
      </w:r>
      <w:r>
        <w:rPr>
          <w:color w:val="000000" w:themeColor="text1"/>
        </w:rPr>
        <w:t xml:space="preserve"> – 92, Одноклассники – 92, </w:t>
      </w:r>
      <w:r>
        <w:rPr>
          <w:color w:val="000000" w:themeColor="text1"/>
        </w:rPr>
        <w:t xml:space="preserve">Телеграм</w:t>
      </w:r>
      <w:r>
        <w:rPr>
          <w:color w:val="000000" w:themeColor="text1"/>
        </w:rPr>
        <w:t xml:space="preserve"> – 46.</w:t>
      </w:r>
    </w:p>
    <w:p>
      <w:pPr>
        <w:spacing w:line="276" w:lineRule="auto"/>
        <w:ind w:firstLine="709"/>
      </w:pPr>
      <w:r>
        <w:rPr>
          <w:color w:val="000000" w:themeColor="text1"/>
        </w:rPr>
        <w:t xml:space="preserve">Для социальных сетей при участии главных внештатных специалистов Департамента здравоохранения автономного округа разрабатывается тематический контент в формате информационных карточек и видеороликов.</w:t>
      </w:r>
    </w:p>
    <w:p>
      <w:pPr>
        <w:spacing w:line="276" w:lineRule="auto"/>
        <w:ind w:firstLine="709"/>
      </w:pPr>
      <w:r>
        <w:rPr>
          <w:color w:val="000000" w:themeColor="text1"/>
        </w:rPr>
        <w:t xml:space="preserve">В целях информирования населения используется популярная площадка в системе здравоохранения – группа «Послушайте, доктор. ХМАО – Югра» в социальной сети </w:t>
      </w:r>
      <w:r>
        <w:rPr>
          <w:color w:val="000000" w:themeColor="text1"/>
        </w:rPr>
        <w:t xml:space="preserve">ВКонтакте</w:t>
      </w:r>
      <w:r>
        <w:rPr>
          <w:color w:val="000000" w:themeColor="text1"/>
        </w:rPr>
        <w:t xml:space="preserve">. Группа имеет более </w:t>
      </w:r>
      <w:r>
        <w:rPr>
          <w:color w:val="000000" w:themeColor="text1"/>
        </w:rPr>
        <w:br/>
        <w:t xml:space="preserve">66 тыс. подписчиков. Ежедневно группу посещают более 1 тыс. человек.</w:t>
      </w:r>
    </w:p>
    <w:p>
      <w:pPr>
        <w:spacing w:line="276" w:lineRule="auto"/>
        <w:ind w:firstLine="709"/>
      </w:pPr>
      <w:r>
        <w:rPr>
          <w:color w:val="000000" w:themeColor="text1"/>
        </w:rPr>
        <w:t xml:space="preserve">Еженедельно проводятся прямые эфиры со специалистами </w:t>
      </w:r>
      <w:r>
        <w:rPr>
          <w:color w:val="000000" w:themeColor="text1"/>
        </w:rPr>
        <w:br/>
        <w:t xml:space="preserve">и экспертами отрасли.</w:t>
      </w:r>
    </w:p>
    <w:p>
      <w:pPr>
        <w:spacing w:line="276" w:lineRule="auto"/>
        <w:ind w:firstLine="709"/>
      </w:pPr>
      <w:r>
        <w:rPr>
          <w:color w:val="000000" w:themeColor="text1"/>
        </w:rPr>
        <w:t xml:space="preserve">С целью формирования в обществе здоровой модели поведения, ответственного отношения к своему здоровью, профилактике заболеваний БУ «Центр общественного здоровья и медицин</w:t>
      </w:r>
      <w:r>
        <w:rPr>
          <w:color w:val="000000" w:themeColor="text1"/>
        </w:rPr>
        <w:t xml:space="preserve">ской профилактики» ведет собственные проекты в СМИ. На радиостанции «Югра» еженедельно выходит радиопередача «Семейный доктор». Территория вещания передачи включает автономный округ и город Тюмень. Количество потенциальных слушателей около 1,5 млн человек.</w:t>
      </w:r>
    </w:p>
    <w:p>
      <w:pPr>
        <w:spacing w:line="276" w:lineRule="auto"/>
        <w:ind w:firstLine="709"/>
      </w:pPr>
      <w:r>
        <w:rPr>
          <w:color w:val="000000" w:themeColor="text1"/>
        </w:rPr>
        <w:t xml:space="preserve">БУ «Центр общественного здоровья и медицинской профилактики» является учредителем журнала «Регион здоровья», который выходит четыре раза в год тиражом 1200 экземпляров, свидетельство о регистрации ПИ </w:t>
      </w:r>
      <w:r>
        <w:rPr>
          <w:color w:val="000000" w:themeColor="text1"/>
        </w:rPr>
        <w:br/>
        <w:t xml:space="preserve">№ ТУ72-01619 от 02.03.2021. В периодическом издании на регулярной основе публикуются тематические статьи.</w:t>
      </w:r>
    </w:p>
    <w:p>
      <w:pPr>
        <w:spacing w:line="276" w:lineRule="auto"/>
        <w:ind w:firstLine="709"/>
      </w:pPr>
      <w:r>
        <w:rPr>
          <w:color w:val="000000" w:themeColor="text1"/>
        </w:rPr>
        <w:t xml:space="preserve">Ежегодно БУ «Центр общественного здоровья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направленности.</w:t>
      </w:r>
    </w:p>
    <w:p>
      <w:pPr>
        <w:spacing w:line="276" w:lineRule="auto"/>
        <w:ind w:firstLine="709"/>
      </w:pPr>
      <w:r>
        <w:rPr>
          <w:color w:val="000000" w:themeColor="text1"/>
        </w:rPr>
        <w:t xml:space="preserve">Так в 2025 году напечатано 13 наименований тематической печатной продукции общим тиражом 48980 экземпляров, в том числе плакат «Безопасной дозы алкоголя не существует!» и плакат «Отличное время, чтобы бросить курить!».</w:t>
      </w:r>
    </w:p>
    <w:p>
      <w:pPr>
        <w:spacing w:line="276" w:lineRule="auto"/>
        <w:ind w:firstLine="709"/>
        <w:rPr>
          <w:color w:val="000000" w:themeColor="text1"/>
        </w:rPr>
      </w:pPr>
      <w:r>
        <w:rPr>
          <w:color w:val="000000" w:themeColor="text1"/>
        </w:rPr>
        <w:t xml:space="preserve">Приказом Департамента здравоохранения автономного округа </w:t>
      </w:r>
      <w:r>
        <w:rPr>
          <w:color w:val="000000" w:themeColor="text1"/>
        </w:rPr>
        <w:br/>
        <w:t xml:space="preserve">от 28.12.2024 № 1903 «О проведении региональных тематических недель по профилактике заболеваний и пропаганде здорового образа жизни </w:t>
      </w:r>
      <w:r>
        <w:rPr>
          <w:color w:val="000000" w:themeColor="text1"/>
        </w:rPr>
        <w:br/>
        <w:t xml:space="preserve">в Ханты-Мансийском автономном округе – Югре в 2025 году» утвержден план проведения региональных тематических мероприятий по профилактике заболеваний и поддержке здорового образа жизни.</w:t>
      </w:r>
      <w:r>
        <w:rPr>
          <w:color w:val="000000" w:themeColor="text1"/>
        </w:rPr>
      </w:r>
    </w:p>
    <w:p>
      <w:pPr>
        <w:spacing w:line="276" w:lineRule="auto"/>
        <w:ind w:firstLine="709"/>
      </w:pPr>
      <w:r>
        <w:rPr>
          <w:color w:val="000000" w:themeColor="text1"/>
        </w:rPr>
        <w:t xml:space="preserve">С 27.01.2025 по 02.02.2025 в Югре прошла</w:t>
      </w:r>
      <w:r>
        <w:rPr>
          <w:color w:val="000000" w:themeColor="text1"/>
        </w:rPr>
        <w:t xml:space="preserve"> Неделя профилактики употребления наркотических средств,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w:t>
      </w:r>
    </w:p>
    <w:p>
      <w:pPr>
        <w:spacing w:line="276" w:lineRule="auto"/>
        <w:ind w:firstLine="709"/>
      </w:pPr>
      <w:r>
        <w:rPr>
          <w:color w:val="000000" w:themeColor="text1"/>
        </w:rPr>
        <w:t xml:space="preserve">В рамках тематических недель организуются обучающие мероприятия для медицинских работников, профилактические мероприятия для граждан, разрабатывается тематическая </w:t>
      </w:r>
      <w:r>
        <w:rPr>
          <w:color w:val="000000" w:themeColor="text1"/>
        </w:rPr>
        <w:t xml:space="preserve">инфографика</w:t>
      </w:r>
      <w:r>
        <w:rPr>
          <w:color w:val="000000" w:themeColor="text1"/>
        </w:rPr>
        <w:t xml:space="preserve"> и размещается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w:t>
      </w:r>
      <w:r>
        <w:rPr>
          <w:color w:val="000000" w:themeColor="text1"/>
        </w:rPr>
        <w:t xml:space="preserve">выступления главных региональных специалистов по теме, позитивные новости и посты в социальных сетях.</w:t>
      </w:r>
    </w:p>
    <w:p>
      <w:pPr>
        <w:spacing w:line="276" w:lineRule="auto"/>
        <w:ind w:firstLine="709"/>
      </w:pPr>
      <w:r>
        <w:rPr>
          <w:color w:val="000000" w:themeColor="text1"/>
        </w:rPr>
        <w:t xml:space="preserve">В рамках Недели профилактики употребления наркотических средств (с 27.01.2025 по 02.02.2025) проведена 101 лекция для медицинских работников, число слушателей составило 2102 человек, 2313 профилактических занятий для </w:t>
      </w:r>
      <w:r>
        <w:rPr>
          <w:color w:val="000000" w:themeColor="text1"/>
        </w:rPr>
        <w:t xml:space="preserve">обучающихся и студентов на тему опасности употребления наркотических средств, число участников 12239 человек, 956 бесед с родителями обучающихся о важности сохранения психического здоровья подростка, число участников 1855 человек, разработана тематическая </w:t>
      </w:r>
      <w:r>
        <w:rPr>
          <w:color w:val="000000" w:themeColor="text1"/>
        </w:rPr>
        <w:t xml:space="preserve">инфографика</w:t>
      </w:r>
      <w:r>
        <w:rPr>
          <w:color w:val="000000" w:themeColor="text1"/>
        </w:rPr>
        <w:t xml:space="preserve"> и размещена в 88 медицинских, 203 образовательных организаций и 88 организациях социального обслуживания населения.</w:t>
      </w:r>
    </w:p>
    <w:p>
      <w:pPr>
        <w:spacing w:line="276" w:lineRule="auto"/>
        <w:ind w:firstLine="709"/>
        <w:rPr>
          <w:color w:val="000000" w:themeColor="text1"/>
        </w:rPr>
      </w:pPr>
      <w:r>
        <w:rPr>
          <w:color w:val="000000" w:themeColor="text1"/>
        </w:rPr>
        <w:t xml:space="preserve">В течение Недели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 26 июня), которая прошла </w:t>
      </w:r>
      <w:r>
        <w:rPr>
          <w:color w:val="000000" w:themeColor="text1"/>
        </w:rPr>
        <w:t xml:space="preserve">с 23.06.2025 по 29.06.2025, проведено 105 лекций для медицинских работников, число слушателей – 2565 человек, 3151 беседа с родителями обучающихся о способах профилактики употребления детьми и подростками наркотических средств, число участников 18906 чел.,</w:t>
      </w:r>
      <w:r>
        <w:rPr>
          <w:color w:val="000000" w:themeColor="text1"/>
        </w:rPr>
      </w:r>
    </w:p>
    <w:p>
      <w:pPr>
        <w:spacing w:line="276" w:lineRule="auto"/>
        <w:ind w:firstLine="709"/>
      </w:pPr>
      <w:r>
        <w:rPr>
          <w:color w:val="000000" w:themeColor="text1"/>
        </w:rPr>
        <w:t xml:space="preserve">16 акций, направленных на профилактику употребления наркотических средств, в которых приняло участие 596 человек, разработана тематическая </w:t>
      </w:r>
      <w:r>
        <w:rPr>
          <w:color w:val="000000" w:themeColor="text1"/>
        </w:rPr>
        <w:t xml:space="preserve">инфографика</w:t>
      </w:r>
      <w:r>
        <w:rPr>
          <w:color w:val="000000" w:themeColor="text1"/>
        </w:rPr>
        <w:t xml:space="preserve"> и размещена в 89 медицинских, 193 образовательных организаций и 93 организациях социального обслуживания населения.</w:t>
      </w:r>
    </w:p>
    <w:p>
      <w:pPr>
        <w:spacing w:line="276" w:lineRule="auto"/>
        <w:ind w:firstLine="709"/>
      </w:pPr>
      <w:r>
        <w:rPr>
          <w:color w:val="000000" w:themeColor="text1"/>
        </w:rPr>
        <w:t xml:space="preserve">Кроме того, распространялась тематическая печатная продукция, оформ</w:t>
      </w:r>
      <w:r>
        <w:rPr>
          <w:color w:val="000000" w:themeColor="text1"/>
        </w:rPr>
        <w:t xml:space="preserve">лены уголки здоровья, организована трансляция тематических видеороликов в холлах медицинских организаций, проведены круглые столы на тему: «Как развивается зависимость», групповые занятия на тему: «Наркотики и семья», викторина «Мифы и правда о наркотиках </w:t>
      </w:r>
      <w:r>
        <w:rPr>
          <w:color w:val="000000" w:themeColor="text1"/>
        </w:rPr>
        <w:br/>
        <w:t xml:space="preserve">и спортивный турнир «Теннис против наркотиков», проведены уроки здоровья для обучающихся начального звена общеобразовательных организаций на тему: «Правила 4-х «НЕТ!» и другие.</w:t>
      </w:r>
    </w:p>
    <w:p>
      <w:pPr>
        <w:spacing w:line="276" w:lineRule="auto"/>
        <w:ind w:firstLine="709"/>
        <w:rPr>
          <w:color w:val="000000" w:themeColor="text1"/>
        </w:rPr>
      </w:pPr>
      <w:r>
        <w:rPr>
          <w:color w:val="000000" w:themeColor="text1"/>
        </w:rPr>
        <w:t xml:space="preserve">В 2025 году специалистами филиала БУ «Центр общественного здоровья и медицинской профилактики» в г. Нефтеюганске проведены: </w:t>
      </w:r>
      <w:r>
        <w:rPr>
          <w:color w:val="000000" w:themeColor="text1"/>
        </w:rPr>
      </w:r>
    </w:p>
    <w:p>
      <w:pPr>
        <w:spacing w:line="276" w:lineRule="auto"/>
        <w:ind w:firstLine="709"/>
        <w:rPr>
          <w:color w:val="000000" w:themeColor="text1"/>
        </w:rPr>
      </w:pPr>
      <w:r>
        <w:rPr>
          <w:color w:val="000000" w:themeColor="text1"/>
        </w:rPr>
        <w:t xml:space="preserve">конкурс рисунков «Мой здоровый день», направленный </w:t>
      </w:r>
      <w:r>
        <w:rPr>
          <w:color w:val="000000" w:themeColor="text1"/>
        </w:rPr>
        <w:br/>
        <w:t xml:space="preserve">на популяризацию здорового образа жизни среди обучающихся общеобразовательных организаций, число участников 78 человек,</w:t>
      </w:r>
      <w:r>
        <w:rPr>
          <w:color w:val="000000" w:themeColor="text1"/>
        </w:rPr>
      </w:r>
    </w:p>
    <w:p>
      <w:pPr>
        <w:spacing w:line="276" w:lineRule="auto"/>
        <w:ind w:firstLine="709"/>
      </w:pPr>
      <w:r>
        <w:rPr>
          <w:color w:val="000000" w:themeColor="text1"/>
        </w:rPr>
        <w:t xml:space="preserve">акции «Я выбираю здоровье!», Бирюзовая ленточка!» в рамках Международного дня отказа от курения, число участников 138 человек,</w:t>
      </w:r>
    </w:p>
    <w:p>
      <w:pPr>
        <w:spacing w:line="276" w:lineRule="auto"/>
        <w:ind w:firstLine="709"/>
      </w:pPr>
      <w:r>
        <w:rPr>
          <w:color w:val="000000" w:themeColor="text1"/>
        </w:rPr>
        <w:t xml:space="preserve">анкетный опрос на тему: «Курение и здоровье» среди студентов филиала федерального государственного бюджетного образовательного учреждения высшего образования «Югорский государственный университет», число респондентов 50 человек,</w:t>
      </w:r>
    </w:p>
    <w:p>
      <w:pPr>
        <w:spacing w:line="276" w:lineRule="auto"/>
        <w:ind w:firstLine="709"/>
      </w:pPr>
      <w:r>
        <w:rPr>
          <w:color w:val="000000" w:themeColor="text1"/>
        </w:rPr>
        <w:t xml:space="preserve">мероприятия в рамках межведомственной комплексной </w:t>
      </w:r>
      <w:r>
        <w:rPr>
          <w:color w:val="000000" w:themeColor="text1"/>
        </w:rPr>
        <w:br/>
        <w:t xml:space="preserve">оперативно-профилактической операции «Чистое поколение – 2025» (лекции, беседы, тренинги и другое) среди обучающихся и студентов организаций общего и профессионального образования, число участников 554 человек,</w:t>
      </w:r>
    </w:p>
    <w:p>
      <w:pPr>
        <w:spacing w:line="276" w:lineRule="auto"/>
        <w:ind w:firstLine="709"/>
      </w:pPr>
      <w:r>
        <w:rPr>
          <w:color w:val="000000" w:themeColor="text1"/>
        </w:rPr>
        <w:t xml:space="preserve">18 лекций для обучающихся и студентов организаций общего </w:t>
      </w:r>
      <w:r>
        <w:rPr>
          <w:color w:val="000000" w:themeColor="text1"/>
        </w:rPr>
        <w:br/>
        <w:t xml:space="preserve">и профессионального образования, число слушателей 863 человек,</w:t>
      </w:r>
    </w:p>
    <w:p>
      <w:pPr>
        <w:spacing w:line="276" w:lineRule="auto"/>
        <w:ind w:firstLine="709"/>
      </w:pPr>
      <w:r>
        <w:rPr>
          <w:color w:val="000000" w:themeColor="text1"/>
        </w:rPr>
        <w:t xml:space="preserve">72 урока здоровья для обучающихся общеобразовательных организаций и детей, посещающих лагеря с дневным пребыванием </w:t>
      </w:r>
      <w:r>
        <w:rPr>
          <w:color w:val="000000" w:themeColor="text1"/>
        </w:rPr>
        <w:br/>
        <w:t xml:space="preserve">в каникулярный период, число участников 1836 человек,</w:t>
      </w:r>
    </w:p>
    <w:p>
      <w:pPr>
        <w:spacing w:line="276" w:lineRule="auto"/>
        <w:ind w:firstLine="709"/>
        <w:rPr>
          <w:color w:val="000000" w:themeColor="text1"/>
        </w:rPr>
      </w:pPr>
      <w:r>
        <w:rPr>
          <w:color w:val="000000" w:themeColor="text1"/>
        </w:rPr>
        <w:t xml:space="preserve">родительское собрание на тему: «О вреде курения электронных сигарет, употребления психоактивных веществ» для родителей (законных представителей) обучающихся МБОУ «Лицей № 1», число участников </w:t>
      </w:r>
      <w:r>
        <w:rPr>
          <w:color w:val="000000" w:themeColor="text1"/>
        </w:rPr>
        <w:br/>
        <w:t xml:space="preserve">28 человек,</w:t>
      </w:r>
      <w:r>
        <w:rPr>
          <w:color w:val="000000" w:themeColor="text1"/>
        </w:rPr>
      </w:r>
    </w:p>
    <w:p>
      <w:pPr>
        <w:spacing w:line="276" w:lineRule="auto"/>
        <w:ind w:firstLine="709"/>
      </w:pPr>
      <w:r>
        <w:rPr>
          <w:color w:val="000000" w:themeColor="text1"/>
        </w:rPr>
        <w:t xml:space="preserve">день здоровья «Мы за здоровый образ жизни» для обучающихся посещающих лагерь с дневным пребыванием на базе МБОУ «Средняя общеобразовательная школа № 7».</w:t>
      </w:r>
    </w:p>
    <w:p>
      <w:pPr>
        <w:spacing w:line="276" w:lineRule="auto"/>
        <w:ind w:firstLine="709"/>
      </w:pPr>
      <w:r>
        <w:rPr>
          <w:color w:val="000000" w:themeColor="text1"/>
        </w:rPr>
        <w:t xml:space="preserve">Специалистами филиала бюджетного учреждения «Центр общественного здоровья и медицинской профилактики» в г. Нижневартовске проведено:</w:t>
      </w:r>
    </w:p>
    <w:p>
      <w:pPr>
        <w:spacing w:line="276" w:lineRule="auto"/>
        <w:ind w:firstLine="709"/>
      </w:pPr>
      <w:r>
        <w:rPr>
          <w:color w:val="000000" w:themeColor="text1"/>
        </w:rPr>
        <w:t xml:space="preserve">23 лекции по профилактике курения для обучающихся 9-х классов общеобразовательных организаций и детей, посещающих подростковые клубы по месту жительства, пришкольные лагеря дневного пребывания, число слушателей 564 человека,</w:t>
      </w:r>
    </w:p>
    <w:p>
      <w:pPr>
        <w:spacing w:line="276" w:lineRule="auto"/>
        <w:ind w:firstLine="709"/>
      </w:pPr>
      <w:r>
        <w:rPr>
          <w:color w:val="000000" w:themeColor="text1"/>
        </w:rPr>
        <w:t xml:space="preserve">18 лекций по профилактике употребления психоактивных веществ среди студентов организаций высшего и профессионального образования, число участников 459 человек,</w:t>
      </w:r>
    </w:p>
    <w:p>
      <w:pPr>
        <w:spacing w:line="276" w:lineRule="auto"/>
        <w:ind w:firstLine="709"/>
      </w:pPr>
      <w:r>
        <w:rPr>
          <w:color w:val="000000" w:themeColor="text1"/>
        </w:rPr>
        <w:t xml:space="preserve">25 уроков здоровья на тему «Профилактика курения» </w:t>
      </w:r>
      <w:r>
        <w:rPr>
          <w:color w:val="000000" w:themeColor="text1"/>
        </w:rPr>
        <w:br/>
        <w:t xml:space="preserve">для обучающихся 1-4-х классов общеобразовательных организаций, число участников 624 человека,</w:t>
      </w:r>
    </w:p>
    <w:p>
      <w:pPr>
        <w:spacing w:line="276" w:lineRule="auto"/>
        <w:ind w:firstLine="709"/>
      </w:pPr>
      <w:r>
        <w:rPr>
          <w:color w:val="000000" w:themeColor="text1"/>
        </w:rPr>
        <w:t xml:space="preserve">акция «Освободим Россию от табачного дыма», число участников 300 человек,</w:t>
      </w:r>
    </w:p>
    <w:p>
      <w:pPr>
        <w:spacing w:line="276" w:lineRule="auto"/>
        <w:ind w:firstLine="709"/>
      </w:pPr>
      <w:r>
        <w:rPr>
          <w:color w:val="000000" w:themeColor="text1"/>
        </w:rPr>
        <w:t xml:space="preserve">конкурс рисунков среди обучающихся 1-4-х классов на тему: «Здоровый я – здоровая Россия», приуроченный к Международному дню борьбы с </w:t>
      </w:r>
      <w:r>
        <w:rPr>
          <w:color w:val="000000" w:themeColor="text1"/>
        </w:rPr>
        <w:t xml:space="preserve">наркоманией и незаконным оборотом наркотиков, число участников 30 человек,</w:t>
      </w:r>
    </w:p>
    <w:p>
      <w:pPr>
        <w:spacing w:line="276" w:lineRule="auto"/>
        <w:ind w:firstLine="709"/>
      </w:pPr>
      <w:r>
        <w:rPr>
          <w:color w:val="000000" w:themeColor="text1"/>
        </w:rPr>
        <w:t xml:space="preserve">конкурс рисунков «Дети – наше богатство», приуроченный </w:t>
      </w:r>
      <w:r>
        <w:rPr>
          <w:color w:val="000000" w:themeColor="text1"/>
        </w:rPr>
        <w:br/>
        <w:t xml:space="preserve">к Международному дню борьбы с наркоманией и незаконным оборотом наркотиков, число участников 55 человек.</w:t>
      </w:r>
    </w:p>
    <w:p>
      <w:pPr>
        <w:spacing w:line="276" w:lineRule="auto"/>
        <w:ind w:firstLine="709"/>
      </w:pPr>
      <w:r>
        <w:rPr>
          <w:color w:val="000000" w:themeColor="text1"/>
        </w:rPr>
        <w:t xml:space="preserve">Специалистами филиала БУ «Центр общественного здоровья </w:t>
      </w:r>
      <w:r>
        <w:rPr>
          <w:color w:val="000000" w:themeColor="text1"/>
        </w:rPr>
        <w:br/>
        <w:t xml:space="preserve">и медицинской профилактики» в г. Сургуте проведено:</w:t>
      </w:r>
    </w:p>
    <w:p>
      <w:pPr>
        <w:spacing w:line="276" w:lineRule="auto"/>
        <w:ind w:firstLine="709"/>
      </w:pPr>
      <w:r>
        <w:rPr>
          <w:color w:val="000000" w:themeColor="text1"/>
        </w:rPr>
        <w:t xml:space="preserve">2 семинара для медицинских работников, социаль</w:t>
      </w:r>
      <w:r>
        <w:rPr>
          <w:color w:val="000000" w:themeColor="text1"/>
        </w:rPr>
        <w:t xml:space="preserve">ных педагогов школ города Сургута и Сургутского района, преподавателей организаций высшего и профессионального образования на тему: «Современные виды «новых» синтетических наркотиков как актуальная проблема немедицинского потребления психоактивных веществ.</w:t>
      </w:r>
      <w:r>
        <w:rPr>
          <w:color w:val="000000" w:themeColor="text1"/>
        </w:rPr>
        <w:t xml:space="preserve"> Профилактика токсикомании», число участников 115 человек; социологический опрос среди обучающихся 8-11-х классов школ города Сургута и Сургутского района на тему: «Распространённость вредных привычек в подростковой среде», число респондентов 6245 человек,</w:t>
      </w:r>
    </w:p>
    <w:p>
      <w:pPr>
        <w:spacing w:line="276" w:lineRule="auto"/>
        <w:ind w:firstLine="709"/>
      </w:pPr>
      <w:r>
        <w:rPr>
          <w:color w:val="000000" w:themeColor="text1"/>
        </w:rPr>
        <w:t xml:space="preserve">круглые столы на темы: «Профилактика наркомании среди молодёжи и подростков», «Разговоры о важном», «Профилактика вредных привычек», число участников 131 человек,</w:t>
      </w:r>
    </w:p>
    <w:p>
      <w:pPr>
        <w:spacing w:line="276" w:lineRule="auto"/>
        <w:ind w:firstLine="709"/>
      </w:pPr>
      <w:r>
        <w:rPr>
          <w:color w:val="000000" w:themeColor="text1"/>
        </w:rPr>
        <w:t xml:space="preserve">акции «Будь здоров», «Активное долголетие, «Здоровье </w:t>
      </w:r>
      <w:r>
        <w:rPr>
          <w:color w:val="000000" w:themeColor="text1"/>
        </w:rPr>
        <w:br/>
        <w:t xml:space="preserve">для каждого» в рамках Всемирного дня здоровья, число участников 88672 человек,</w:t>
      </w:r>
    </w:p>
    <w:p>
      <w:pPr>
        <w:spacing w:line="276" w:lineRule="auto"/>
        <w:ind w:firstLine="709"/>
      </w:pPr>
      <w:r>
        <w:rPr>
          <w:color w:val="000000" w:themeColor="text1"/>
        </w:rPr>
        <w:t xml:space="preserve">акция «Здоровые дети – надежное будущее», приуроченная </w:t>
      </w:r>
      <w:r>
        <w:rPr>
          <w:color w:val="000000" w:themeColor="text1"/>
        </w:rPr>
        <w:br/>
        <w:t xml:space="preserve">к Международному дню защиты детей, в рамках акции на городской площади прошла эстафета «Папа, мама, я – спортивная семья!», число участников 300 человек,</w:t>
      </w:r>
    </w:p>
    <w:p>
      <w:pPr>
        <w:spacing w:line="276" w:lineRule="auto"/>
        <w:ind w:firstLine="709"/>
      </w:pPr>
      <w:r>
        <w:rPr>
          <w:color w:val="000000" w:themeColor="text1"/>
        </w:rPr>
        <w:t xml:space="preserve">акции «Бирюзовая ленточка», приуроченные ко Всемирному дню </w:t>
      </w:r>
      <w:r>
        <w:rPr>
          <w:color w:val="000000" w:themeColor="text1"/>
        </w:rPr>
        <w:br/>
        <w:t xml:space="preserve">без табака – 31 мая и Международному дню отказа от курения – 20 ноября, число участников 91422 человека,</w:t>
      </w:r>
    </w:p>
    <w:p>
      <w:pPr>
        <w:spacing w:line="276" w:lineRule="auto"/>
        <w:ind w:firstLine="709"/>
      </w:pPr>
      <w:r>
        <w:rPr>
          <w:color w:val="000000" w:themeColor="text1"/>
        </w:rPr>
        <w:t xml:space="preserve">акция «День трезвости» в рамках Всероссийского дня трезвости – </w:t>
      </w:r>
      <w:r>
        <w:rPr>
          <w:color w:val="000000" w:themeColor="text1"/>
        </w:rPr>
        <w:br/>
        <w:t xml:space="preserve">11 сентября, число участников 124 человека,</w:t>
      </w:r>
    </w:p>
    <w:p>
      <w:pPr>
        <w:spacing w:line="276" w:lineRule="auto"/>
        <w:ind w:firstLine="709"/>
      </w:pPr>
      <w:r>
        <w:rPr>
          <w:color w:val="000000" w:themeColor="text1"/>
        </w:rPr>
        <w:t xml:space="preserve">конкурс музыкальных видеоклипов «Если хочешь быть здоров» среди обучающихся 8-11-х классов школ города Сургута и Сургутского района, число участников 22 человека,</w:t>
      </w:r>
    </w:p>
    <w:p>
      <w:pPr>
        <w:spacing w:line="276" w:lineRule="auto"/>
        <w:ind w:firstLine="709"/>
      </w:pPr>
      <w:r>
        <w:rPr>
          <w:color w:val="000000" w:themeColor="text1"/>
        </w:rPr>
        <w:t xml:space="preserve">викторины «Азбука здоровья», «Что я знаю о здоровье» </w:t>
      </w:r>
      <w:r>
        <w:rPr>
          <w:color w:val="000000" w:themeColor="text1"/>
        </w:rPr>
        <w:br/>
        <w:t xml:space="preserve">для воспитанников спортивной школы «</w:t>
      </w:r>
      <w:r>
        <w:rPr>
          <w:color w:val="000000" w:themeColor="text1"/>
        </w:rPr>
        <w:t xml:space="preserve">Югория</w:t>
      </w:r>
      <w:r>
        <w:rPr>
          <w:color w:val="000000" w:themeColor="text1"/>
        </w:rPr>
        <w:t xml:space="preserve">» и обучающихся, </w:t>
      </w:r>
      <w:r>
        <w:rPr>
          <w:color w:val="000000" w:themeColor="text1"/>
        </w:rPr>
        <w:t xml:space="preserve">посещающих летние пришкольные лагеря с дневным пребыванием, число участников 538 человек.</w:t>
      </w:r>
    </w:p>
    <w:p>
      <w:pPr>
        <w:spacing w:line="276" w:lineRule="auto"/>
        <w:ind w:firstLine="709"/>
        <w:rPr>
          <w:color w:val="000000" w:themeColor="text1"/>
        </w:rPr>
      </w:pPr>
      <w:r>
        <w:rPr>
          <w:color w:val="000000" w:themeColor="text1"/>
        </w:rPr>
        <w:t xml:space="preserve">В рамках реализации плана основных мероприятий по профилактике заболеваний и формированию здорового образа жизни специалистами медицинских организаций автономного округа на регулярной основе проводится профилактическая работа, в том числе направленная </w:t>
      </w:r>
      <w:r>
        <w:rPr>
          <w:color w:val="000000" w:themeColor="text1"/>
        </w:rPr>
        <w:br/>
        <w:t xml:space="preserve">на профилактику наркомании и употребления психоактивных веществ.</w:t>
      </w:r>
      <w:r>
        <w:rPr>
          <w:color w:val="000000" w:themeColor="text1"/>
        </w:rPr>
      </w:r>
    </w:p>
    <w:p>
      <w:pPr>
        <w:spacing w:line="276" w:lineRule="auto"/>
        <w:ind w:firstLine="709"/>
        <w:rPr>
          <w:color w:val="000000" w:themeColor="text1"/>
        </w:rPr>
      </w:pPr>
      <w:r>
        <w:rPr>
          <w:color w:val="000000" w:themeColor="text1"/>
        </w:rPr>
        <w:t xml:space="preserve">В 2025 года на тему «Профилактика употребления наркотиков </w:t>
      </w:r>
      <w:r>
        <w:rPr>
          <w:color w:val="000000" w:themeColor="text1"/>
        </w:rPr>
        <w:br/>
        <w:t xml:space="preserve">и психоактивных веществ» специалистами медицинских организаций проведены:</w:t>
      </w:r>
      <w:r>
        <w:rPr>
          <w:color w:val="000000" w:themeColor="text1"/>
        </w:rPr>
      </w:r>
    </w:p>
    <w:p>
      <w:pPr>
        <w:spacing w:line="276" w:lineRule="auto"/>
        <w:ind w:firstLine="709"/>
      </w:pPr>
      <w:r>
        <w:rPr>
          <w:color w:val="000000" w:themeColor="text1"/>
        </w:rPr>
        <w:t xml:space="preserve">530 лекций, число слушателей 16981 человек,</w:t>
      </w:r>
    </w:p>
    <w:p>
      <w:pPr>
        <w:spacing w:line="276" w:lineRule="auto"/>
        <w:ind w:firstLine="709"/>
      </w:pPr>
      <w:r>
        <w:rPr>
          <w:color w:val="000000" w:themeColor="text1"/>
        </w:rPr>
        <w:t xml:space="preserve">21580 бесед, число участников 49580 человек, 11 семинаров, число участников 369 человек, 3 тренинга, число участников 207 человек,</w:t>
      </w:r>
    </w:p>
    <w:p>
      <w:pPr>
        <w:spacing w:line="276" w:lineRule="auto"/>
        <w:ind w:firstLine="709"/>
      </w:pPr>
      <w:r>
        <w:rPr>
          <w:color w:val="000000" w:themeColor="text1"/>
        </w:rPr>
        <w:t xml:space="preserve">124 урока здоровья для детей старшего дошкольного возраста </w:t>
      </w:r>
      <w:r>
        <w:rPr>
          <w:color w:val="000000" w:themeColor="text1"/>
        </w:rPr>
        <w:br/>
        <w:t xml:space="preserve">и школьников, число участников 5700 чел., 244 </w:t>
      </w:r>
      <w:r>
        <w:rPr>
          <w:color w:val="000000" w:themeColor="text1"/>
        </w:rPr>
        <w:t xml:space="preserve">кинодемонстрации</w:t>
      </w:r>
      <w:r>
        <w:rPr>
          <w:color w:val="000000" w:themeColor="text1"/>
        </w:rPr>
        <w:t xml:space="preserve"> </w:t>
      </w:r>
      <w:r>
        <w:rPr>
          <w:color w:val="000000" w:themeColor="text1"/>
        </w:rPr>
        <w:br/>
        <w:t xml:space="preserve">с обсуждением, число зрителей 7190 человек, 129 массовых мероприятий (акции, дни открытых дверей, конкурсы, викторины, </w:t>
      </w:r>
      <w:r>
        <w:rPr>
          <w:color w:val="000000" w:themeColor="text1"/>
        </w:rPr>
        <w:t xml:space="preserve">квесты</w:t>
      </w:r>
      <w:r>
        <w:rPr>
          <w:color w:val="000000" w:themeColor="text1"/>
        </w:rPr>
        <w:t xml:space="preserve"> и другое), число участников 9247 человек, размещено 1534 средств наглядной агитации (плакаты, стенды, уголки здоровья и др.), распространено 23690 экземпляров тематической печатной продукции.</w:t>
      </w:r>
    </w:p>
    <w:p>
      <w:pPr>
        <w:spacing w:line="276" w:lineRule="auto"/>
        <w:ind w:firstLine="709"/>
      </w:pPr>
      <w:r>
        <w:rPr>
          <w:color w:val="000000" w:themeColor="text1"/>
        </w:rPr>
        <w:t xml:space="preserve">Приоритетным направлением для популяризации здорового образа жизни</w:t>
      </w:r>
      <w:r>
        <w:rPr>
          <w:color w:val="000000" w:themeColor="text1"/>
        </w:rPr>
        <w:t xml:space="preserve">, профилактики заболеваний, вредных привычек, в том числе употребления наркотиков и психоактивных веществ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pPr>
        <w:spacing w:line="276" w:lineRule="auto"/>
        <w:ind w:firstLine="709"/>
      </w:pPr>
      <w:r>
        <w:rPr>
          <w:color w:val="000000" w:themeColor="text1"/>
        </w:rPr>
        <w:t xml:space="preserve">Специалистами медицинских организаций автономного округ</w:t>
      </w:r>
      <w:r>
        <w:rPr>
          <w:color w:val="000000" w:themeColor="text1"/>
        </w:rPr>
        <w:t xml:space="preserve">а при участии волонтеров Всероссийского общественного движения «Волонтеры-медики» организовано и проведено 1251 мероприятие, направленное на популяризацию здорового образа жизни, профилактику заболеваний и вредных привычек, в которых приняли участие 39711 </w:t>
      </w:r>
      <w:r>
        <w:rPr>
          <w:color w:val="000000" w:themeColor="text1"/>
        </w:rPr>
        <w:t xml:space="preserve">югорчан</w:t>
      </w:r>
      <w:r>
        <w:rPr>
          <w:color w:val="000000" w:themeColor="text1"/>
        </w:rPr>
        <w:t xml:space="preserve">.</w:t>
      </w:r>
    </w:p>
    <w:p>
      <w:pPr>
        <w:spacing w:line="276" w:lineRule="auto"/>
        <w:ind w:firstLine="709"/>
      </w:pPr>
      <w:r>
        <w:rPr>
          <w:color w:val="000000" w:themeColor="text1"/>
        </w:rPr>
        <w:t xml:space="preserve">В марте 2025 года в рамках межведомственной комплексной оперативно-профилактической операции «Чистое поколение – 2025» волонтеры-медики провели:</w:t>
      </w:r>
    </w:p>
    <w:p>
      <w:pPr>
        <w:spacing w:line="276" w:lineRule="auto"/>
        <w:ind w:firstLine="709"/>
      </w:pPr>
      <w:r>
        <w:rPr>
          <w:color w:val="000000" w:themeColor="text1"/>
        </w:rPr>
        <w:t xml:space="preserve">интерактивные уроки с </w:t>
      </w:r>
      <w:r>
        <w:rPr>
          <w:color w:val="000000" w:themeColor="text1"/>
        </w:rPr>
        <w:t xml:space="preserve">видеопоказами</w:t>
      </w:r>
      <w:r>
        <w:rPr>
          <w:color w:val="000000" w:themeColor="text1"/>
        </w:rPr>
        <w:t xml:space="preserve"> по профилактике вредных привычек для обучающихся МАОУ «Средняя общеобразовательная школа </w:t>
      </w:r>
      <w:r>
        <w:rPr>
          <w:color w:val="000000" w:themeColor="text1"/>
        </w:rPr>
        <w:br/>
        <w:t xml:space="preserve">№ 1», МАОУ «Средняя общеобразовательная школа № 2» в г. Нягань,</w:t>
      </w:r>
    </w:p>
    <w:p>
      <w:pPr>
        <w:spacing w:line="276" w:lineRule="auto"/>
        <w:ind w:firstLine="709"/>
      </w:pPr>
      <w:r>
        <w:rPr>
          <w:color w:val="000000" w:themeColor="text1"/>
        </w:rPr>
        <w:t xml:space="preserve">информационно-просветительскую акцию «Прогулка с врачом» </w:t>
      </w:r>
      <w:r>
        <w:rPr>
          <w:color w:val="000000" w:themeColor="text1"/>
        </w:rPr>
        <w:br/>
        <w:t xml:space="preserve">при участии специалиста БУ «</w:t>
      </w:r>
      <w:r>
        <w:rPr>
          <w:color w:val="000000" w:themeColor="text1"/>
        </w:rPr>
        <w:t xml:space="preserve">Няганская</w:t>
      </w:r>
      <w:r>
        <w:rPr>
          <w:color w:val="000000" w:themeColor="text1"/>
        </w:rPr>
        <w:t xml:space="preserve"> городская детская по</w:t>
      </w:r>
      <w:r>
        <w:rPr>
          <w:color w:val="000000" w:themeColor="text1"/>
        </w:rPr>
        <w:t xml:space="preserve">ликлиника», на которой обсудили тему профилактики употребления несовершеннолетними психоактивных веществ; интерактивный урок по формированию стрессоустойчивости и отказу от вредных привычек для обучающихся МАОУ «Средняя общеобразовательная школа № 2» в г. </w:t>
      </w:r>
      <w:r>
        <w:rPr>
          <w:color w:val="000000" w:themeColor="text1"/>
        </w:rPr>
        <w:t xml:space="preserve">Покачи</w:t>
      </w:r>
      <w:r>
        <w:rPr>
          <w:color w:val="000000" w:themeColor="text1"/>
        </w:rPr>
        <w:t xml:space="preserve">. Всего в мероприятиях приняли участие 338 несовершеннолетних.</w:t>
      </w:r>
    </w:p>
    <w:p>
      <w:pPr>
        <w:spacing w:line="276" w:lineRule="auto"/>
        <w:ind w:firstLine="709"/>
      </w:pPr>
      <w:r>
        <w:rPr>
          <w:color w:val="000000" w:themeColor="text1"/>
        </w:rPr>
        <w:t xml:space="preserve">В рамках реализации Всероссийской акции, приуроченной ко Всемирному дню здоровья проведены «Зарядка с чемпионом» «Уроки здорового образа жизни» в городах Когалым, </w:t>
      </w:r>
      <w:r>
        <w:rPr>
          <w:color w:val="000000" w:themeColor="text1"/>
        </w:rPr>
        <w:t xml:space="preserve">Покачи</w:t>
      </w:r>
      <w:r>
        <w:rPr>
          <w:color w:val="000000" w:themeColor="text1"/>
        </w:rPr>
        <w:t xml:space="preserve">, </w:t>
      </w:r>
      <w:r>
        <w:rPr>
          <w:color w:val="000000" w:themeColor="text1"/>
        </w:rPr>
        <w:t xml:space="preserve">пгт</w:t>
      </w:r>
      <w:r>
        <w:rPr>
          <w:color w:val="000000" w:themeColor="text1"/>
        </w:rPr>
        <w:t xml:space="preserve">. </w:t>
      </w:r>
      <w:r>
        <w:rPr>
          <w:color w:val="000000" w:themeColor="text1"/>
        </w:rPr>
        <w:t xml:space="preserve">Приобье</w:t>
      </w:r>
      <w:r>
        <w:rPr>
          <w:color w:val="000000" w:themeColor="text1"/>
        </w:rPr>
        <w:t xml:space="preserve"> </w:t>
      </w:r>
      <w:r>
        <w:rPr>
          <w:color w:val="000000" w:themeColor="text1"/>
        </w:rPr>
        <w:br/>
        <w:t xml:space="preserve">и </w:t>
      </w:r>
      <w:r>
        <w:rPr>
          <w:color w:val="000000" w:themeColor="text1"/>
        </w:rPr>
        <w:t xml:space="preserve">пгт</w:t>
      </w:r>
      <w:r>
        <w:rPr>
          <w:color w:val="000000" w:themeColor="text1"/>
        </w:rPr>
        <w:t xml:space="preserve">. Междуреченский. Всего в акции приняли участие 86 человек.</w:t>
      </w:r>
    </w:p>
    <w:p>
      <w:pPr>
        <w:spacing w:line="276" w:lineRule="auto"/>
        <w:ind w:firstLine="709"/>
      </w:pPr>
      <w:r>
        <w:rPr>
          <w:color w:val="000000" w:themeColor="text1"/>
        </w:rPr>
        <w:t xml:space="preserve">В апреле 2025 года в рамках проведения культурно-массового мероприятия «Время быть здоровым!», включающего церемонию награждения победителей и участников VIII городского конкурса </w:t>
      </w:r>
      <w:r>
        <w:rPr>
          <w:color w:val="000000" w:themeColor="text1"/>
        </w:rPr>
        <w:br/>
        <w:t xml:space="preserve">по формированию здорового образа жизни среди обучающихся общеобразовательных учреждений города Ханты-Мансийска «Здоровый класс», организованы интерактивные площадки «</w:t>
      </w:r>
      <w:r>
        <w:rPr>
          <w:color w:val="000000" w:themeColor="text1"/>
        </w:rPr>
        <w:t xml:space="preserve">Энерготочка</w:t>
      </w:r>
      <w:r>
        <w:rPr>
          <w:color w:val="000000" w:themeColor="text1"/>
        </w:rPr>
        <w:t xml:space="preserve"> ЗОЖ» </w:t>
      </w:r>
      <w:r>
        <w:rPr>
          <w:color w:val="000000" w:themeColor="text1"/>
        </w:rPr>
        <w:br/>
        <w:t xml:space="preserve">и мастер-классы по оказанию первой помощи. В мероприятии приняли участие более 200 человек.</w:t>
      </w:r>
    </w:p>
    <w:p>
      <w:pPr>
        <w:spacing w:line="276" w:lineRule="auto"/>
        <w:ind w:firstLine="709"/>
      </w:pPr>
      <w:r>
        <w:rPr>
          <w:color w:val="000000" w:themeColor="text1"/>
        </w:rPr>
        <w:t xml:space="preserve">В июне 2025 года в рамках реализации Федеральной программы «Безопасное детство» для детей, посещающих летние пришкольные лагеря в городах Нягань и Ханты-Мансийск, волонтеры-медики совместно </w:t>
      </w:r>
      <w:r>
        <w:rPr>
          <w:color w:val="000000" w:themeColor="text1"/>
        </w:rPr>
        <w:br/>
        <w:t xml:space="preserve">с сотрудниками БУ «</w:t>
      </w:r>
      <w:r>
        <w:rPr>
          <w:color w:val="000000" w:themeColor="text1"/>
        </w:rPr>
        <w:t xml:space="preserve">Няганская</w:t>
      </w:r>
      <w:r>
        <w:rPr>
          <w:color w:val="000000" w:themeColor="text1"/>
        </w:rPr>
        <w:t xml:space="preserve"> городская детская поликлиника» </w:t>
      </w:r>
      <w:r>
        <w:rPr>
          <w:color w:val="000000" w:themeColor="text1"/>
        </w:rPr>
        <w:br/>
        <w:t xml:space="preserve">и БУ «Центр общественного здоровья и медицинской профилактики» рассказа</w:t>
      </w:r>
      <w:r>
        <w:rPr>
          <w:color w:val="000000" w:themeColor="text1"/>
        </w:rPr>
        <w:t xml:space="preserve">ли о бытовом травматизме, о безопасном и ответственном поведении в период каникул (в частности, провели 14 бесед о профилактике потребления наркотических и психотропных веществ, алкогольных, энергетических напитков, табачных изделий и электронных сигарет).</w:t>
      </w:r>
    </w:p>
    <w:p>
      <w:pPr>
        <w:spacing w:line="276" w:lineRule="auto"/>
        <w:ind w:firstLine="709"/>
        <w:rPr>
          <w:highlight w:val="white"/>
        </w:rPr>
      </w:pPr>
      <w:r>
        <w:t xml:space="preserve">С целью снижения уровня вовлеченности несовершеннолетних получателей социальных услуг в незаконный оборот наркотических средств и психотропных веществ приказом </w:t>
      </w:r>
      <w:r>
        <w:rPr>
          <w:i/>
        </w:rPr>
        <w:t xml:space="preserve">Департамента социального развития автономного округа</w:t>
      </w:r>
      <w:r>
        <w:t xml:space="preserve"> утве</w:t>
      </w:r>
      <w:r>
        <w:rPr>
          <w:highlight w:val="white"/>
        </w:rPr>
        <w:t xml:space="preserve">ржден отраслевой план мероприятий </w:t>
      </w:r>
      <w:r>
        <w:rPr>
          <w:highlight w:val="white"/>
        </w:rPr>
        <w:br/>
        <w:t xml:space="preserve">по профилактике наркомании среди подростков и молодежи, формированию у них навыков здорового образа жизни</w:t>
      </w:r>
      <w:r>
        <w:rPr>
          <w:rStyle w:val="1618"/>
          <w:highlight w:val="white"/>
        </w:rPr>
        <w:footnoteReference w:id="45"/>
      </w:r>
      <w:r>
        <w:rPr>
          <w:rStyle w:val="1618"/>
          <w:highlight w:val="white"/>
        </w:rPr>
        <w:t xml:space="preserve">, </w:t>
      </w:r>
      <w:r>
        <w:rPr>
          <w:rStyle w:val="1618"/>
          <w:highlight w:val="white"/>
          <w:vertAlign w:val="baseline"/>
        </w:rPr>
        <w:t xml:space="preserve">которым предусмотрены следующие мероприятия:</w:t>
      </w:r>
      <w:r>
        <w:rPr>
          <w:highlight w:val="white"/>
        </w:rPr>
      </w:r>
    </w:p>
    <w:p>
      <w:pPr>
        <w:spacing w:line="276" w:lineRule="auto"/>
        <w:ind w:firstLine="709"/>
        <w:rPr>
          <w:highlight w:val="white"/>
        </w:rPr>
      </w:pPr>
      <w:r>
        <w:rPr>
          <w:highlight w:val="white"/>
        </w:rPr>
        <w:t xml:space="preserve">проведение физкультурных мероприятий, акций, направленных </w:t>
      </w:r>
      <w:r>
        <w:rPr>
          <w:highlight w:val="white"/>
        </w:rPr>
        <w:br/>
        <w:t xml:space="preserve">на пропаганду здорового образа жизни, с несовершеннолетними получателями социальных услуг (организовано 4499 мероприятий </w:t>
      </w:r>
      <w:r>
        <w:rPr>
          <w:highlight w:val="white"/>
        </w:rPr>
        <w:br/>
        <w:t xml:space="preserve">для 5595 получателей социальных услуг)</w:t>
      </w:r>
      <w:r>
        <w:t xml:space="preserve">,</w:t>
      </w:r>
      <w:r>
        <w:rPr>
          <w:highlight w:val="white"/>
        </w:rPr>
      </w:r>
    </w:p>
    <w:p>
      <w:pPr>
        <w:spacing w:line="276" w:lineRule="auto"/>
        <w:ind w:firstLine="709"/>
        <w:rPr>
          <w:highlight w:val="white"/>
        </w:rPr>
      </w:pPr>
      <w:r>
        <w:rPr>
          <w:highlight w:val="white"/>
        </w:rPr>
        <w:t xml:space="preserve">проведение с несовершеннолетними получателями социальных услуг, их родителями (законными представителями) мероприятий, направленных на повышение правовой грамотности </w:t>
      </w:r>
      <w:r>
        <w:rPr>
          <w:highlight w:val="white"/>
        </w:rPr>
        <w:t xml:space="preserve">об ответственности за потребление и распространение наркотических средств, с привлечением работников правоохранительных органов (организовано 890 мероприятий для 3643 несовершеннолетних получателей социальных услуг, 1302 родителей (законных представителей)</w:t>
      </w:r>
      <w:r>
        <w:t xml:space="preserve">),</w:t>
      </w:r>
      <w:r>
        <w:rPr>
          <w:highlight w:val="white"/>
        </w:rPr>
      </w:r>
    </w:p>
    <w:p>
      <w:pPr>
        <w:spacing w:line="276" w:lineRule="auto"/>
        <w:ind w:firstLine="709"/>
        <w:rPr>
          <w:highlight w:val="white"/>
        </w:rPr>
      </w:pPr>
      <w:r>
        <w:rPr>
          <w:highlight w:val="white"/>
        </w:rPr>
        <w:t xml:space="preserve">проведение с несовершеннолетними получателями социальных услуг, их родителями (законными представителями) просветительских мероприятий о негативных последствиях употребления психоактивных веществ, наркотических препаратов, алкоголя, </w:t>
      </w:r>
      <w:r>
        <w:rPr>
          <w:highlight w:val="white"/>
        </w:rPr>
        <w:t xml:space="preserve">никотиносодержащей</w:t>
      </w:r>
      <w:r>
        <w:rPr>
          <w:highlight w:val="white"/>
        </w:rPr>
        <w:t xml:space="preserve"> продукции с привлечением сотрудников медицинских организаций, в том числе Центра профилактики и борьбы со СПИД (организовано 477 мероприятий для 2638 несовершеннолетних получателей социальных услуг, 1100 родителей (законных представителей)</w:t>
      </w:r>
      <w:r>
        <w:t xml:space="preserve">,</w:t>
      </w:r>
      <w:r>
        <w:rPr>
          <w:highlight w:val="white"/>
        </w:rPr>
      </w:r>
    </w:p>
    <w:p>
      <w:pPr>
        <w:spacing w:line="276" w:lineRule="auto"/>
        <w:ind w:firstLine="709"/>
        <w:rPr>
          <w:highlight w:val="white"/>
        </w:rPr>
      </w:pPr>
      <w:r>
        <w:rPr>
          <w:highlight w:val="white"/>
        </w:rPr>
        <w:t xml:space="preserve">изготовление и распространение информационных материалов (л</w:t>
      </w:r>
      <w:r>
        <w:rPr>
          <w:highlight w:val="white"/>
        </w:rPr>
        <w:t xml:space="preserve">истовок, брошюр), внедрение и использование методических материалов, наглядных пособий для родителей (законных представителей) несовершеннолетних, посвященных пропаганде здорового образа жизни, профилактике потребления наркотических и психотропных веществ </w:t>
      </w:r>
      <w:r>
        <w:rPr>
          <w:highlight w:val="white"/>
        </w:rPr>
        <w:br/>
        <w:t xml:space="preserve">в немедицинских целях, а также спиртосодержащей продукции </w:t>
      </w:r>
      <w:r>
        <w:rPr>
          <w:highlight w:val="white"/>
        </w:rPr>
        <w:br/>
        <w:t xml:space="preserve">(разработано 367 информационных материала, распространено 8632 информационных материала)</w:t>
      </w:r>
      <w:r>
        <w:t xml:space="preserve">,</w:t>
      </w:r>
      <w:r>
        <w:rPr>
          <w:highlight w:val="white"/>
        </w:rPr>
      </w:r>
    </w:p>
    <w:p>
      <w:pPr>
        <w:spacing w:line="276" w:lineRule="auto"/>
        <w:ind w:firstLine="709"/>
        <w:rPr>
          <w:highlight w:val="white"/>
        </w:rPr>
      </w:pPr>
      <w:r>
        <w:rPr>
          <w:highlight w:val="white"/>
        </w:rPr>
        <w:t xml:space="preserve">проведение консультаций, лекций, бесед для родителей (законных представителей) несовершеннолетних получателей социальных услуг </w:t>
      </w:r>
      <w:r>
        <w:rPr>
          <w:highlight w:val="white"/>
        </w:rPr>
        <w:br/>
        <w:t xml:space="preserve">по предупреждению потребления наркотических и психотропных веществ в немедицинских целях, а также спиртосодержащей продукции (проведено 1680 мероприятий для 4711 родителей (законных представителей))</w:t>
      </w:r>
      <w:r>
        <w:t xml:space="preserve">,</w:t>
      </w:r>
      <w:r>
        <w:rPr>
          <w:highlight w:val="white"/>
        </w:rPr>
      </w:r>
    </w:p>
    <w:p>
      <w:pPr>
        <w:spacing w:line="276" w:lineRule="auto"/>
        <w:ind w:firstLine="709"/>
        <w:rPr>
          <w:highlight w:val="white"/>
        </w:rPr>
      </w:pPr>
      <w:r>
        <w:rPr>
          <w:highlight w:val="white"/>
        </w:rPr>
        <w:t xml:space="preserve">организация и проведение консультаций, лекций, бесед для несовершеннолетних получателей социальных услуг и их родителей (законных представителей) по формированию </w:t>
      </w:r>
      <w:r>
        <w:rPr>
          <w:highlight w:val="white"/>
        </w:rPr>
        <w:t xml:space="preserve">правопослушного</w:t>
      </w:r>
      <w:r>
        <w:rPr>
          <w:highlight w:val="white"/>
        </w:rPr>
        <w:t xml:space="preserve"> поведения и навыков цифровой безопасности у детей в целях предотвращения их вовлечения в незаконный оборот наркотических средств, психотропных веществ, в том числе в цифровой среде (проведено 1727 мероприятий </w:t>
      </w:r>
      <w:r>
        <w:rPr>
          <w:highlight w:val="white"/>
        </w:rPr>
        <w:br/>
        <w:t xml:space="preserve">для 5211 несовершеннолетних получателей социальных услуг, 3056 родителей (законных представителей))</w:t>
      </w:r>
      <w:r>
        <w:t xml:space="preserve">,</w:t>
      </w:r>
      <w:r>
        <w:rPr>
          <w:highlight w:val="white"/>
        </w:rPr>
      </w:r>
    </w:p>
    <w:p>
      <w:pPr>
        <w:spacing w:line="276" w:lineRule="auto"/>
        <w:ind w:firstLine="709"/>
        <w:rPr>
          <w:color w:val="000000"/>
          <w:highlight w:val="white"/>
        </w:rPr>
      </w:pPr>
      <w:r>
        <w:rPr>
          <w:color w:val="000000"/>
          <w:highlight w:val="white"/>
          <w:lang w:bidi="ru-RU"/>
        </w:rPr>
        <w:t xml:space="preserve">демонстрация для родителей (законных представителей) социальных видеороликов об опасности Интернета для детей, посредством которого подростков вовлекают в «группы смерти», в том числе наркотической направленности </w:t>
      </w:r>
      <w:r>
        <w:rPr>
          <w:highlight w:val="white"/>
        </w:rPr>
        <w:t xml:space="preserve">(организован просмотр 107 видеоматериалов для 3102 родителей (законных представителей)</w:t>
      </w:r>
      <w:r>
        <w:t xml:space="preserve">)</w:t>
      </w:r>
      <w:r>
        <w:rPr>
          <w:color w:val="000000"/>
        </w:rPr>
        <w:t xml:space="preserve">,</w:t>
      </w:r>
      <w:r>
        <w:rPr>
          <w:color w:val="000000"/>
          <w:highlight w:val="white"/>
        </w:rPr>
      </w:r>
    </w:p>
    <w:p>
      <w:pPr>
        <w:spacing w:line="276" w:lineRule="auto"/>
        <w:ind w:firstLine="709"/>
        <w:rPr>
          <w:color w:val="000000"/>
          <w:highlight w:val="white"/>
        </w:rPr>
      </w:pPr>
      <w:r>
        <w:rPr>
          <w:color w:val="000000"/>
          <w:highlight w:val="white"/>
          <w:lang w:bidi="ru-RU"/>
        </w:rPr>
        <w:t xml:space="preserve">обеспечение контроля за фильтрацией контента (содержания) компьютеров учреждений, на которых проводятся занятия по различным программам, в том числе обучение по использованию Интернет-ресурсов на предмет наличия материалов с наркотической направленности</w:t>
      </w:r>
      <w:r>
        <w:rPr>
          <w:color w:val="000000"/>
        </w:rPr>
        <w:t xml:space="preserve">,</w:t>
      </w:r>
      <w:r>
        <w:rPr>
          <w:color w:val="000000"/>
          <w:highlight w:val="white"/>
        </w:rPr>
      </w:r>
    </w:p>
    <w:p>
      <w:pPr>
        <w:spacing w:line="276" w:lineRule="auto"/>
        <w:ind w:firstLine="709"/>
        <w:rPr>
          <w:highlight w:val="white"/>
        </w:rPr>
      </w:pPr>
      <w:r>
        <w:rPr>
          <w:highlight w:val="white"/>
        </w:rPr>
        <w:t xml:space="preserve">размещение информационных материалов, направленных </w:t>
      </w:r>
      <w:r>
        <w:rPr>
          <w:highlight w:val="white"/>
        </w:rPr>
        <w:br/>
        <w:t xml:space="preserve">на пропаганду здорового образа жизни, профилактику потребления наркотических и психотропных веществ в немедицинских целях, </w:t>
      </w:r>
      <w:r>
        <w:rPr>
          <w:highlight w:val="white"/>
        </w:rPr>
        <w:br/>
        <w:t xml:space="preserve">а также спиртосодержащей продукции, на официальных сайтах, </w:t>
      </w:r>
      <w:r>
        <w:rPr>
          <w:highlight w:val="white"/>
        </w:rPr>
        <w:br/>
        <w:t xml:space="preserve">аккаунтах учреждений (опубликовано 995 информационных материалов).</w:t>
      </w:r>
      <w:r>
        <w:rPr>
          <w:highlight w:val="white"/>
        </w:rPr>
      </w:r>
    </w:p>
    <w:p>
      <w:pPr>
        <w:spacing w:line="276" w:lineRule="auto"/>
        <w:ind w:firstLine="709"/>
      </w:pPr>
      <w:r>
        <w:rPr>
          <w:highlight w:val="white"/>
        </w:rPr>
        <w:t xml:space="preserve">Кроме того, </w:t>
      </w:r>
      <w:r>
        <w:rPr>
          <w:color w:val="000000" w:themeColor="text1"/>
          <w:highlight w:val="white"/>
          <w:lang w:eastAsia="en-US"/>
        </w:rPr>
        <w:t xml:space="preserve">в целях формирования у получателей социальных услуг здорового образа жизни, в том числе профилактики употребления психоактивных веществ, </w:t>
      </w:r>
      <w:r>
        <w:rPr>
          <w:highlight w:val="white"/>
        </w:rPr>
        <w:t xml:space="preserve">учреждениями</w:t>
      </w:r>
      <w:r>
        <w:t xml:space="preserve"> социального обслуживания ежегодно в мае-июне 2025 года проводится месячник антинаркотической направленности и популяризации здорового образа жизни</w:t>
      </w:r>
      <w:r>
        <w:rPr>
          <w:rStyle w:val="1618"/>
        </w:rPr>
        <w:footnoteReference w:id="46"/>
      </w:r>
      <w:r>
        <w:rPr>
          <w:rStyle w:val="1618"/>
        </w:rPr>
        <w:t xml:space="preserve">. </w:t>
      </w:r>
      <w:r>
        <w:rPr>
          <w:rStyle w:val="1618"/>
          <w:vertAlign w:val="baseline"/>
        </w:rPr>
        <w:t xml:space="preserve">Охват в 2025 году составил порядка 4800 несовершеннолетних получателей социальных услуг, а также их законных представителей.</w:t>
      </w:r>
    </w:p>
    <w:p>
      <w:pPr>
        <w:spacing w:line="276" w:lineRule="auto"/>
        <w:ind w:firstLine="709"/>
        <w:contextualSpacing/>
      </w:pPr>
      <w:r>
        <w:rPr>
          <w:bCs/>
          <w:highlight w:val="white"/>
        </w:rPr>
        <w:t xml:space="preserve">Услуги по социальной реабилитации и ресоциализации лиц, уп</w:t>
      </w:r>
      <w:r>
        <w:rPr>
          <w:bCs/>
          <w:highlight w:val="white"/>
        </w:rPr>
        <w:t xml:space="preserve">отреблявших наркотические, психотропные и (или) иные токсические вещества и прошедших обследование и лечение от зависимости, предоставляются как государственными учреждениями социального обслуживания, так и негосударственными поставщиками социальных услуг.</w:t>
      </w:r>
    </w:p>
    <w:p>
      <w:pPr>
        <w:spacing w:line="276" w:lineRule="auto"/>
        <w:ind w:firstLine="709"/>
      </w:pPr>
      <w:r>
        <w:rPr>
          <w:highlight w:val="white"/>
        </w:rPr>
        <w:t xml:space="preserve">По информации, предоставленной Департаментом социального развития автономного округа, количество </w:t>
      </w:r>
      <w:r>
        <w:rPr>
          <w:highlight w:val="white"/>
        </w:rPr>
        <w:t xml:space="preserve">реабилитантов</w:t>
      </w:r>
      <w:r>
        <w:rPr>
          <w:highlight w:val="white"/>
        </w:rPr>
        <w:t xml:space="preserve">, которые поступили в организации и прошли полный курс реабилитации в 2025 году состав</w:t>
      </w:r>
      <w:r>
        <w:t xml:space="preserve">ило</w:t>
      </w:r>
      <w:r>
        <w:rPr>
          <w:highlight w:val="white"/>
        </w:rPr>
        <w:t xml:space="preserve"> 56 человек.</w:t>
      </w:r>
    </w:p>
    <w:p>
      <w:pPr>
        <w:spacing w:line="276" w:lineRule="auto"/>
        <w:ind w:firstLine="709"/>
        <w:rPr>
          <w:highlight w:val="white"/>
        </w:rPr>
      </w:pPr>
      <w:r>
        <w:rPr>
          <w:highlight w:val="white"/>
        </w:rPr>
        <w:t xml:space="preserve">В 2025 году антинаркотическими комиссиями м</w:t>
      </w:r>
      <w:r>
        <w:rPr>
          <w:highlight w:val="white"/>
        </w:rPr>
        <w:t xml:space="preserve">униципальных образований автономного округа на системной основе организованы профилактические мероприятия по правовому просвещению и правовому информированию граждан в сфере профилактики незаконного потребления наркотических средств и психотропных веществ:</w:t>
      </w:r>
      <w:r>
        <w:rPr>
          <w:highlight w:val="white"/>
        </w:rPr>
      </w:r>
    </w:p>
    <w:p>
      <w:pPr>
        <w:spacing w:line="276" w:lineRule="auto"/>
        <w:ind w:firstLine="709"/>
        <w:rPr>
          <w:highlight w:val="white"/>
        </w:rPr>
      </w:pPr>
      <w:r>
        <w:rPr>
          <w:highlight w:val="white"/>
        </w:rPr>
        <w:t xml:space="preserve">освещение материалов по вопросам антинаркотической пропаганды, направленных на повышение уровня осведомленности граждан, в первую очередь несовершеннолетних и их родителей (законных представителей), </w:t>
      </w:r>
      <w:r>
        <w:rPr>
          <w:highlight w:val="white"/>
        </w:rPr>
        <w:br/>
        <w:t xml:space="preserve">о рисках, связанных с незаконным потреблением наркотиков, и последствиях такого потребления в средствах массовой информации, на </w:t>
      </w:r>
      <w:r>
        <w:rPr>
          <w:highlight w:val="white"/>
        </w:rPr>
        <w:t xml:space="preserve">интернет-ресурсах</w:t>
      </w:r>
      <w:r>
        <w:rPr>
          <w:highlight w:val="white"/>
        </w:rPr>
        <w:t xml:space="preserve">, в печати, на радио, на телевидении, в социальных сетях (чатах, группах собственников многоквартирных домов и др.) и </w:t>
      </w:r>
      <w:r>
        <w:rPr>
          <w:highlight w:val="white"/>
        </w:rPr>
        <w:t xml:space="preserve">видеохостингах</w:t>
      </w:r>
      <w:r>
        <w:rPr>
          <w:highlight w:val="white"/>
        </w:rPr>
        <w:t xml:space="preserve">, на сайтах органов местного самоуправления, образовательных организаций (более 1200 мероприятий);</w:t>
      </w:r>
      <w:r>
        <w:rPr>
          <w:highlight w:val="white"/>
        </w:rPr>
      </w:r>
    </w:p>
    <w:p>
      <w:pPr>
        <w:spacing w:line="276" w:lineRule="auto"/>
        <w:ind w:firstLine="709"/>
        <w:rPr>
          <w:highlight w:val="white"/>
        </w:rPr>
      </w:pPr>
      <w:r>
        <w:rPr>
          <w:highlight w:val="white"/>
        </w:rPr>
        <w:t xml:space="preserve">распростра</w:t>
      </w:r>
      <w:r>
        <w:rPr>
          <w:highlight w:val="white"/>
        </w:rPr>
        <w:t xml:space="preserve">нение информационных материалов (памятки, листовки, буклеты, баннеры, социальная реклама, видеосюжеты) по вопросам профилактики наркомании в образовательных, медицинских организациях, учреждениях социального обслуживания населения (более 3500 мероприятий);</w:t>
      </w:r>
      <w:r>
        <w:rPr>
          <w:highlight w:val="white"/>
        </w:rPr>
      </w:r>
    </w:p>
    <w:p>
      <w:pPr>
        <w:spacing w:line="276" w:lineRule="auto"/>
        <w:ind w:firstLine="709"/>
      </w:pPr>
      <w:r>
        <w:rPr>
          <w:highlight w:val="white"/>
        </w:rPr>
        <w:t xml:space="preserve">встречи с обучающимися образовательных организаций, родителями (законными представителями), молодежью, населением по вопросам противодействия правонарушений в сфере незаконного оборота наркотических средств, психотропных веществ и их </w:t>
      </w:r>
      <w:r>
        <w:rPr>
          <w:highlight w:val="white"/>
        </w:rPr>
        <w:t xml:space="preserve">прекурсоров</w:t>
      </w:r>
      <w:r>
        <w:rPr>
          <w:highlight w:val="white"/>
        </w:rPr>
        <w:t xml:space="preserve">, конк</w:t>
      </w:r>
      <w:r>
        <w:rPr>
          <w:highlight w:val="white"/>
        </w:rPr>
        <w:t xml:space="preserve">урсных мероприятий, направленные на формирование культуры здорового и безопасного образа жизни у подрастающего поколения, организованные во взаимодействии с правоохранительными органами, органами местного самоуправления, институтами гражданского общества, </w:t>
      </w:r>
      <w:r>
        <w:t xml:space="preserve">включая общественные и некоммерческие организации, добровольцами (волонтерами) (более 3000 мероприятий).</w:t>
      </w:r>
    </w:p>
    <w:p>
      <w:pPr>
        <w:tabs>
          <w:tab w:val="left" w:pos="851" w:leader="none"/>
          <w:tab w:val="left" w:pos="1134" w:leader="none"/>
        </w:tabs>
        <w:spacing w:line="276" w:lineRule="auto"/>
        <w:ind w:firstLine="709"/>
        <w:contextualSpacing/>
      </w:pPr>
      <w:r>
        <w:rPr>
          <w:color w:val="000000"/>
        </w:rPr>
        <w:t xml:space="preserve">В рамках государственной программы автономного округа «Социальное и демографическое развитие» </w:t>
      </w:r>
      <w:r>
        <w:t xml:space="preserve">Департаментом социального развития автономного округа в 2025 году осуществлено предоставление сертификатов </w:t>
      </w:r>
      <w:r>
        <w:t xml:space="preserve">на оплату услуг по социальной реабилитации и ресоциализации гражданам, страдающим наркологическими заболеваниями, позволило:</w:t>
      </w:r>
    </w:p>
    <w:p>
      <w:pPr>
        <w:spacing w:line="276" w:lineRule="auto"/>
        <w:ind w:firstLine="709"/>
      </w:pPr>
      <w:r>
        <w:t xml:space="preserve">обеспечить доступ к эффективным программам реабилитации</w:t>
      </w:r>
      <w:r>
        <w:br/>
        <w:t xml:space="preserve">и мотивации к ее прохождению лиц, больных наркоманией; </w:t>
      </w:r>
    </w:p>
    <w:p>
      <w:pPr>
        <w:spacing w:line="276" w:lineRule="auto"/>
        <w:ind w:firstLine="709"/>
      </w:pPr>
      <w:r>
        <w:t xml:space="preserve">осуществлять государственную поддержку негосударственных учреждений, обеспечивающих социальную и трудовую </w:t>
      </w:r>
      <w:r>
        <w:t xml:space="preserve">реинтеграцию</w:t>
      </w:r>
      <w:r>
        <w:t xml:space="preserve"> участников реабилитационных программ.</w:t>
      </w:r>
    </w:p>
    <w:p>
      <w:pPr>
        <w:spacing w:line="276" w:lineRule="auto"/>
        <w:ind w:firstLine="709"/>
        <w:rPr>
          <w:highlight w:val="white"/>
        </w:rPr>
      </w:pPr>
      <w:r>
        <w:rPr>
          <w:bCs/>
          <w:highlight w:val="white"/>
          <w:lang w:bidi="ru-RU"/>
        </w:rPr>
        <w:t xml:space="preserve">По системе сертификатов в 2025 году </w:t>
      </w:r>
      <w:r>
        <w:rPr>
          <w:bCs/>
          <w:highlight w:val="white"/>
        </w:rPr>
        <w:t xml:space="preserve">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highlight w:val="white"/>
        </w:rPr>
        <w:t xml:space="preserve">автономной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благотворительному фонду социальной и духовной помощи «</w:t>
      </w:r>
      <w:r>
        <w:rPr>
          <w:highlight w:val="white"/>
        </w:rPr>
        <w:t xml:space="preserve">Вефиль</w:t>
      </w:r>
      <w:r>
        <w:rPr>
          <w:highlight w:val="white"/>
        </w:rPr>
        <w:t xml:space="preserve">», благотворительному фонду социальной и духовной помощи «Возрождение» в общем объеме 5 073,4 тыс. рублей (2024 год </w:t>
      </w:r>
      <w:r>
        <w:rPr>
          <w:bCs/>
          <w:highlight w:val="white"/>
          <w:lang w:eastAsia="ar-SA" w:bidi="ru-RU"/>
        </w:rPr>
        <w:t xml:space="preserve">–</w:t>
      </w:r>
      <w:r>
        <w:rPr>
          <w:highlight w:val="white"/>
        </w:rPr>
        <w:t xml:space="preserve"> 4 866,2 тыс. рублей).</w:t>
      </w:r>
      <w:r>
        <w:rPr>
          <w:highlight w:val="white"/>
        </w:rPr>
      </w:r>
    </w:p>
    <w:p>
      <w:pPr>
        <w:spacing w:line="276" w:lineRule="auto"/>
        <w:ind w:firstLine="709"/>
        <w:rPr>
          <w:highlight w:val="white"/>
        </w:rPr>
      </w:pPr>
      <w:r>
        <w:rPr>
          <w:highlight w:val="white"/>
          <w:lang w:eastAsia="ar-SA"/>
        </w:rPr>
        <w:t xml:space="preserve">В 2025 году реализованы 30</w:t>
      </w:r>
      <w:r>
        <w:rPr>
          <w:color w:val="000000"/>
          <w:highlight w:val="white"/>
          <w:lang w:eastAsia="ar-SA"/>
        </w:rPr>
        <w:t xml:space="preserve"> сертификатов</w:t>
      </w:r>
      <w:r>
        <w:rPr>
          <w:highlight w:val="white"/>
          <w:lang w:eastAsia="ar-SA"/>
        </w:rPr>
        <w:t xml:space="preserve"> на реабилитацию</w:t>
      </w:r>
      <w:r>
        <w:rPr>
          <w:highlight w:val="white"/>
          <w:lang w:eastAsia="ar-SA"/>
        </w:rPr>
        <w:br/>
        <w:t xml:space="preserve">и </w:t>
      </w:r>
      <w:r>
        <w:rPr>
          <w:highlight w:val="white"/>
          <w:lang w:eastAsia="ar-SA"/>
        </w:rPr>
        <w:t xml:space="preserve">ресоциализацию</w:t>
      </w:r>
      <w:r>
        <w:rPr>
          <w:highlight w:val="white"/>
          <w:lang w:eastAsia="ar-SA"/>
        </w:rPr>
        <w:t xml:space="preserve"> наркопотребителей </w:t>
      </w:r>
      <w:r>
        <w:rPr>
          <w:bCs/>
          <w:highlight w:val="white"/>
          <w:lang w:eastAsia="ar-SA" w:bidi="ru-RU"/>
        </w:rPr>
        <w:t xml:space="preserve">(2024 год – </w:t>
      </w:r>
      <w:r>
        <w:rPr>
          <w:color w:val="000000"/>
          <w:highlight w:val="white"/>
          <w:lang w:eastAsia="ar-SA"/>
        </w:rPr>
        <w:t xml:space="preserve">32</w:t>
      </w:r>
      <w:r>
        <w:rPr>
          <w:bCs/>
          <w:highlight w:val="white"/>
          <w:lang w:eastAsia="ar-SA" w:bidi="ru-RU"/>
        </w:rPr>
        <w:t xml:space="preserve"> сертификата)</w:t>
      </w:r>
      <w:r>
        <w:rPr>
          <w:highlight w:val="white"/>
          <w:lang w:eastAsia="ar-SA"/>
        </w:rPr>
        <w:t xml:space="preserve">;</w:t>
      </w:r>
      <w:r>
        <w:rPr>
          <w:highlight w:val="white"/>
        </w:rPr>
      </w:r>
    </w:p>
    <w:p>
      <w:pPr>
        <w:spacing w:line="276" w:lineRule="auto"/>
        <w:ind w:firstLine="709"/>
        <w:rPr>
          <w:bCs/>
          <w:highlight w:val="white"/>
        </w:rPr>
      </w:pPr>
      <w:r>
        <w:rPr>
          <w:highlight w:val="white"/>
        </w:rPr>
        <w:t xml:space="preserve">Региональной общественной организации по профилактике </w:t>
      </w:r>
      <w:r>
        <w:rPr>
          <w:highlight w:val="white"/>
        </w:rPr>
        <w:br/>
        <w:t xml:space="preserve">и реабилитации лиц, страдающих заболеваниями наркоманией </w:t>
      </w:r>
      <w:r>
        <w:rPr>
          <w:highlight w:val="white"/>
        </w:rPr>
        <w:br/>
        <w:t xml:space="preserve">и алкоголизмом «Чистый путь» </w:t>
      </w:r>
      <w:r>
        <w:rPr>
          <w:bCs/>
          <w:highlight w:val="white"/>
          <w:lang w:bidi="ru-RU"/>
        </w:rPr>
        <w:t xml:space="preserve">в 2025 году выплачена компенсация </w:t>
      </w:r>
      <w:r>
        <w:rPr>
          <w:bCs/>
          <w:highlight w:val="white"/>
          <w:lang w:bidi="ru-RU"/>
        </w:rPr>
        <w:br/>
        <w:t xml:space="preserve">по предоставлению социальных услуг наркозависимым гражданам </w:t>
      </w:r>
      <w:r>
        <w:rPr>
          <w:bCs/>
          <w:highlight w:val="white"/>
          <w:lang w:bidi="ru-RU"/>
        </w:rPr>
        <w:br/>
        <w:t xml:space="preserve">в размере </w:t>
      </w:r>
      <w:r>
        <w:rPr>
          <w:bCs/>
          <w:highlight w:val="white"/>
        </w:rPr>
        <w:t xml:space="preserve">5 542,7</w:t>
      </w:r>
      <w:r>
        <w:rPr>
          <w:highlight w:val="white"/>
        </w:rPr>
        <w:t xml:space="preserve"> </w:t>
      </w:r>
      <w:r>
        <w:rPr>
          <w:bCs/>
          <w:highlight w:val="white"/>
          <w:lang w:bidi="ru-RU"/>
        </w:rPr>
        <w:t xml:space="preserve">тыс. рублей (2024 год – </w:t>
      </w:r>
      <w:r>
        <w:rPr>
          <w:bCs/>
          <w:highlight w:val="white"/>
        </w:rPr>
        <w:t xml:space="preserve">3 505,1</w:t>
      </w:r>
      <w:r>
        <w:rPr>
          <w:bCs/>
          <w:highlight w:val="white"/>
          <w:lang w:bidi="ru-RU"/>
        </w:rPr>
        <w:t xml:space="preserve"> тыс. рублей).</w:t>
      </w:r>
      <w:r>
        <w:rPr>
          <w:bCs/>
          <w:highlight w:val="white"/>
        </w:rPr>
      </w:r>
    </w:p>
    <w:p>
      <w:pPr>
        <w:spacing w:line="276" w:lineRule="auto"/>
        <w:ind w:firstLine="709"/>
        <w:rPr>
          <w:bCs/>
          <w:highlight w:val="white"/>
        </w:rPr>
      </w:pPr>
      <w:r>
        <w:rPr>
          <w:bCs/>
          <w:highlight w:val="white"/>
          <w:lang w:bidi="ru-RU"/>
        </w:rPr>
        <w:t xml:space="preserve">На предоставление социальных услуг по социальной реабилитации, социальной и трудовой </w:t>
      </w:r>
      <w:r>
        <w:rPr>
          <w:bCs/>
          <w:highlight w:val="white"/>
          <w:lang w:bidi="ru-RU"/>
        </w:rPr>
        <w:t xml:space="preserve">реинтеграции</w:t>
      </w:r>
      <w:r>
        <w:rPr>
          <w:bCs/>
          <w:highlight w:val="white"/>
          <w:lang w:bidi="ru-RU"/>
        </w:rPr>
        <w:t xml:space="preserve"> лиц, осуществляющих незаконное потребление наркотических средств и психотропных веществ,</w:t>
      </w:r>
      <w:r>
        <w:rPr>
          <w:highlight w:val="white"/>
        </w:rPr>
        <w:t xml:space="preserve"> автономная некоммерческая организация «Центр социальной реабилитации «Феникс»</w:t>
      </w:r>
      <w:r>
        <w:rPr>
          <w:bCs/>
          <w:highlight w:val="white"/>
          <w:lang w:bidi="ru-RU"/>
        </w:rPr>
        <w:t xml:space="preserve"> в 2025 году получила субсидию в объеме </w:t>
      </w:r>
      <w:r>
        <w:rPr>
          <w:highlight w:val="white"/>
        </w:rPr>
        <w:t xml:space="preserve">15 299,6</w:t>
      </w:r>
      <w:r>
        <w:rPr>
          <w:bCs/>
          <w:highlight w:val="white"/>
        </w:rPr>
        <w:t xml:space="preserve"> </w:t>
      </w:r>
      <w:r>
        <w:rPr>
          <w:bCs/>
          <w:highlight w:val="white"/>
          <w:lang w:bidi="ru-RU"/>
        </w:rPr>
        <w:t xml:space="preserve">тыс. рублей </w:t>
      </w:r>
      <w:r>
        <w:rPr>
          <w:bCs/>
          <w:highlight w:val="white"/>
          <w:lang w:bidi="ru-RU"/>
        </w:rPr>
        <w:br/>
        <w:t xml:space="preserve">(2024 год – </w:t>
      </w:r>
      <w:r>
        <w:rPr>
          <w:highlight w:val="white"/>
        </w:rPr>
        <w:t xml:space="preserve">7 483,1 </w:t>
      </w:r>
      <w:r>
        <w:rPr>
          <w:bCs/>
          <w:highlight w:val="white"/>
          <w:lang w:bidi="ru-RU"/>
        </w:rPr>
        <w:t xml:space="preserve">тыс. рублей).</w:t>
      </w:r>
      <w:r>
        <w:rPr>
          <w:bCs/>
          <w:highlight w:val="white"/>
        </w:rPr>
      </w:r>
    </w:p>
    <w:p>
      <w:pPr>
        <w:tabs>
          <w:tab w:val="left" w:pos="851" w:leader="none"/>
          <w:tab w:val="left" w:pos="1134" w:leader="none"/>
        </w:tabs>
        <w:spacing w:line="276" w:lineRule="auto"/>
        <w:ind w:firstLine="709"/>
        <w:contextualSpacing/>
        <w:rPr>
          <w:b/>
          <w:bCs/>
          <w:i/>
          <w:color w:val="000000"/>
          <w:highlight w:val="white"/>
        </w:rPr>
      </w:pPr>
      <w:r>
        <w:rPr>
          <w:b/>
          <w:bCs/>
          <w:i/>
          <w:color w:val="000000"/>
          <w:highlight w:val="white"/>
        </w:rPr>
      </w:r>
      <w:r>
        <w:rPr>
          <w:b/>
          <w:bCs/>
          <w:i/>
          <w:color w:val="000000"/>
          <w:highlight w:val="white"/>
        </w:rPr>
      </w:r>
    </w:p>
    <w:p>
      <w:pPr>
        <w:spacing w:line="276" w:lineRule="auto"/>
        <w:ind w:firstLine="709"/>
      </w:pPr>
    </w:p>
    <w:p>
      <w:pPr>
        <w:spacing w:line="276" w:lineRule="auto"/>
        <w:ind w:firstLine="709"/>
      </w:pPr>
    </w:p>
    <w:p>
      <w:pPr>
        <w:spacing w:line="276" w:lineRule="auto"/>
        <w:ind w:firstLine="709"/>
        <w:outlineLvl w:val="1"/>
        <w:rPr>
          <w:b/>
          <w:highlight w:val="yellow"/>
        </w:rPr>
      </w:pPr>
      <w:r>
        <w:rPr>
          <w:b/>
          <w:highlight w:val="yellow"/>
        </w:rPr>
      </w:r>
      <w:r>
        <w:rPr>
          <w:b/>
          <w:highlight w:val="yellow"/>
        </w:rPr>
      </w:r>
    </w:p>
    <w:p>
      <w:pPr>
        <w:spacing w:line="276" w:lineRule="auto"/>
        <w:ind w:firstLine="709"/>
        <w:outlineLvl w:val="1"/>
        <w:rPr>
          <w:b/>
          <w:highlight w:val="yellow"/>
        </w:rPr>
        <w:sectPr>
          <w:headerReference w:type="default" r:id="rId12"/>
          <w:headerReference w:type="first" r:id="rId13"/>
          <w:footerReference w:type="first" r:id="rId18"/>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p>
    <w:p>
      <w:pPr>
        <w:spacing w:line="276" w:lineRule="auto"/>
        <w:ind w:firstLine="709"/>
        <w:outlineLvl w:val="1"/>
        <w:rPr>
          <w:b/>
        </w:rPr>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rPr>
          <w:b/>
        </w:rPr>
      </w:r>
    </w:p>
    <w:p>
      <w:pPr>
        <w:tabs>
          <w:tab w:val="left" w:pos="540" w:leader="none"/>
        </w:tabs>
        <w:spacing w:line="276" w:lineRule="auto"/>
        <w:ind w:firstLine="709"/>
        <w:rPr>
          <w:b/>
          <w:i/>
        </w:rPr>
      </w:pPr>
      <w:r>
        <w:rPr>
          <w:b/>
          <w:i/>
        </w:rPr>
      </w:r>
      <w:r>
        <w:rPr>
          <w:b/>
          <w:i/>
        </w:rPr>
      </w:r>
    </w:p>
    <w:p>
      <w:pPr>
        <w:tabs>
          <w:tab w:val="left" w:pos="540" w:leader="none"/>
        </w:tabs>
        <w:spacing w:line="276" w:lineRule="auto"/>
        <w:ind w:firstLine="709"/>
      </w:pPr>
      <w: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p>
    <w:p>
      <w:pPr>
        <w:tabs>
          <w:tab w:val="left" w:pos="540" w:leader="none"/>
        </w:tabs>
        <w:spacing w:line="276" w:lineRule="auto"/>
        <w:ind w:firstLine="709"/>
        <w:rPr>
          <w:b/>
          <w:bCs/>
          <w:i/>
        </w:rPr>
      </w:pPr>
      <w:r>
        <w:rPr>
          <w:b/>
          <w:i/>
        </w:rPr>
        <w:t xml:space="preserve">1. «Совершенствование антинаркотической деятельности и государственного контроля за оборотом наркотиков»</w:t>
      </w:r>
      <w:r>
        <w:rPr>
          <w:b/>
          <w:bCs/>
          <w:i/>
        </w:rPr>
      </w:r>
    </w:p>
    <w:p>
      <w:pPr>
        <w:widowControl w:val="off"/>
        <w:spacing w:line="276" w:lineRule="auto"/>
        <w:ind w:firstLine="709"/>
      </w:pPr>
      <w:r>
        <w:t xml:space="preserve">Задачи, решаемые в этом приоритетном направлении:</w:t>
      </w:r>
    </w:p>
    <w:p>
      <w:pPr>
        <w:widowControl w:val="off"/>
        <w:spacing w:line="276" w:lineRule="auto"/>
        <w:ind w:firstLine="709"/>
      </w:pPr>
      <w:r>
        <w:t xml:space="preserve">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pPr>
        <w:widowControl w:val="off"/>
        <w:spacing w:line="276" w:lineRule="auto"/>
        <w:ind w:firstLine="709"/>
      </w:pPr>
      <w:r>
        <w:t xml:space="preserve">обеспечение эффективной координации антинаркотической деятельности;</w:t>
      </w:r>
    </w:p>
    <w:p>
      <w:pPr>
        <w:widowControl w:val="off"/>
        <w:spacing w:line="276" w:lineRule="auto"/>
        <w:ind w:firstLine="709"/>
      </w:pPr>
      <w:r>
        <w:t xml:space="preserve">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pPr>
        <w:pStyle w:val="1615"/>
        <w:widowControl w:val="off"/>
        <w:spacing w:line="276" w:lineRule="auto"/>
        <w:ind w:left="0" w:firstLine="709"/>
      </w:pPr>
      <w:r>
        <w:t xml:space="preserve">Меры, обеспечивающие решение указанных задач:</w:t>
      </w:r>
    </w:p>
    <w:p>
      <w:pPr>
        <w:widowControl w:val="off"/>
        <w:spacing w:line="276" w:lineRule="auto"/>
        <w:ind w:firstLine="709"/>
      </w:pPr>
      <w:r>
        <w:t xml:space="preserve">принятие нормативных правовых актов, повышающих эффективность антинаркотической деятельности;</w:t>
      </w:r>
    </w:p>
    <w:p>
      <w:pPr>
        <w:widowControl w:val="off"/>
        <w:spacing w:line="276" w:lineRule="auto"/>
        <w:ind w:firstLine="709"/>
      </w:pPr>
      <w:r>
        <w:t xml:space="preserve">обеспечение согласованности мер по реализации Стратегии </w:t>
      </w:r>
      <w:r>
        <w:br/>
        <w:t xml:space="preserve">на региональном и муниципальном уровнях;</w:t>
      </w:r>
    </w:p>
    <w:p>
      <w:pPr>
        <w:widowControl w:val="off"/>
        <w:spacing w:line="276" w:lineRule="auto"/>
        <w:ind w:firstLine="709"/>
      </w:pPr>
      <w:r>
        <w:t xml:space="preserve">методическое обеспечение деятельности органов местного самоуправления муниципальных образований автономного округа </w:t>
      </w:r>
      <w:r>
        <w:br/>
        <w:t xml:space="preserve">по вопросам реализации антинаркотической политики</w:t>
      </w:r>
      <w:r>
        <w:rPr>
          <w:rFonts w:eastAsia="Calibri"/>
        </w:rPr>
        <w:t xml:space="preserve"> в </w:t>
      </w:r>
      <w:r>
        <w:t xml:space="preserve">автономном округе;</w:t>
      </w:r>
    </w:p>
    <w:p>
      <w:pPr>
        <w:widowControl w:val="off"/>
        <w:spacing w:line="276" w:lineRule="auto"/>
        <w:ind w:firstLine="709"/>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p>
    <w:p>
      <w:pPr>
        <w:tabs>
          <w:tab w:val="left" w:pos="540" w:leader="none"/>
        </w:tabs>
        <w:spacing w:line="276" w:lineRule="auto"/>
        <w:ind w:firstLine="709"/>
      </w:pPr>
      <w:r>
        <w:t xml:space="preserve">создание условий для эффективного участия общественных объединений, организаций и граждан в антинаркотической деятельности.</w:t>
      </w:r>
    </w:p>
    <w:p>
      <w:pPr>
        <w:tabs>
          <w:tab w:val="left" w:pos="540" w:leader="none"/>
        </w:tabs>
        <w:spacing w:line="276" w:lineRule="auto"/>
        <w:ind w:firstLine="709"/>
      </w:pPr>
      <w:r>
        <w:t xml:space="preserve">Информация о реализации указанного приоритетного направления:</w:t>
      </w:r>
    </w:p>
    <w:p>
      <w:pPr>
        <w:tabs>
          <w:tab w:val="left" w:pos="540" w:leader="none"/>
        </w:tabs>
        <w:spacing w:line="276" w:lineRule="auto"/>
        <w:ind w:firstLine="709"/>
        <w:jc w:val="center"/>
      </w:pPr>
    </w:p>
    <w:p>
      <w:pPr>
        <w:tabs>
          <w:tab w:val="left" w:pos="540" w:leader="none"/>
        </w:tabs>
        <w:spacing w:line="276" w:lineRule="auto"/>
        <w:ind w:firstLine="709"/>
      </w:pPr>
    </w:p>
    <w:tbl>
      <w:tblPr>
        <w:tblStyle w:val="1614"/>
        <w:tblW w:w="9464" w:type="dxa"/>
        <w:tblLayout w:type="fixed"/>
        <w:tblLook w:val="04A0" w:firstRow="1" w:lastRow="0" w:firstColumn="1" w:lastColumn="0" w:noHBand="0" w:noVBand="1"/>
      </w:tblPr>
      <w:tblGrid>
        <w:gridCol w:w="672"/>
        <w:gridCol w:w="2413"/>
        <w:gridCol w:w="6379"/>
      </w:tblGrid>
      <w:tr>
        <w:trPr>
          <w:tblHeader/>
        </w:trPr>
        <w:tc>
          <w:tcPr>
            <w:tcW w:w="672" w:type="dxa"/>
            <w:shd w:val="clear" w:color="ffffff" w:fill="ffffff"/>
            <w:noWrap w:val="false"/>
            <w:textDirection w:val="lrTb"/>
            <w:vAlign w:val="center"/>
          </w:tcPr>
          <w:p>
            <w:pPr>
              <w:spacing w:line="240" w:lineRule="auto"/>
              <w:ind w:firstLine="0"/>
              <w:jc w:val="center"/>
              <w:outlineLvl w:val="1"/>
              <w:rPr>
                <w:color w:val="000000"/>
                <w:sz w:val="22"/>
                <w:szCs w:val="22"/>
              </w:rPr>
            </w:pPr>
            <w:r>
              <w:rPr>
                <w:color w:val="000000" w:themeColor="text1"/>
                <w:sz w:val="22"/>
                <w:szCs w:val="22"/>
              </w:rPr>
              <w:t xml:space="preserve">№ п/п</w:t>
            </w:r>
            <w:r>
              <w:rPr>
                <w:color w:val="000000"/>
                <w:sz w:val="22"/>
                <w:szCs w:val="22"/>
              </w:rPr>
            </w:r>
          </w:p>
        </w:tc>
        <w:tc>
          <w:tcPr>
            <w:tcW w:w="2413" w:type="dxa"/>
            <w:shd w:val="clear" w:color="ffffff" w:fill="ffffff"/>
            <w:noWrap w:val="false"/>
            <w:textDirection w:val="lrTb"/>
            <w:vAlign w:val="center"/>
          </w:tcPr>
          <w:p>
            <w:pPr>
              <w:spacing w:line="240" w:lineRule="auto"/>
              <w:ind w:firstLine="0"/>
              <w:jc w:val="center"/>
              <w:rPr>
                <w:color w:val="000000"/>
                <w:sz w:val="22"/>
                <w:szCs w:val="22"/>
              </w:rPr>
            </w:pPr>
            <w:r>
              <w:rPr>
                <w:color w:val="000000" w:themeColor="text1"/>
                <w:sz w:val="22"/>
                <w:szCs w:val="22"/>
              </w:rPr>
              <w:t xml:space="preserve">Мероприятия</w:t>
            </w:r>
            <w:r>
              <w:rPr>
                <w:color w:val="000000"/>
                <w:sz w:val="22"/>
                <w:szCs w:val="22"/>
              </w:rPr>
            </w:r>
          </w:p>
        </w:tc>
        <w:tc>
          <w:tcPr>
            <w:tcW w:w="6379" w:type="dxa"/>
            <w:shd w:val="clear" w:color="ffffff" w:fill="ffffff"/>
            <w:noWrap w:val="false"/>
            <w:textDirection w:val="lrTb"/>
            <w:vAlign w:val="center"/>
          </w:tcPr>
          <w:p>
            <w:pPr>
              <w:tabs>
                <w:tab w:val="left" w:pos="540" w:leader="none"/>
              </w:tabs>
              <w:spacing w:line="240" w:lineRule="auto"/>
              <w:ind w:firstLine="0"/>
              <w:jc w:val="center"/>
              <w:rPr>
                <w:color w:val="000000"/>
                <w:sz w:val="22"/>
                <w:szCs w:val="22"/>
              </w:rPr>
            </w:pPr>
            <w:r>
              <w:rPr>
                <w:color w:val="000000" w:themeColor="text1"/>
                <w:sz w:val="22"/>
                <w:szCs w:val="22"/>
              </w:rPr>
              <w:t xml:space="preserve">Информация о реализации</w:t>
            </w:r>
            <w:r>
              <w:rPr>
                <w:color w:val="000000"/>
                <w:sz w:val="22"/>
                <w:szCs w:val="22"/>
              </w:rPr>
            </w:r>
          </w:p>
        </w:tc>
      </w:tr>
      <w:tr>
        <w:trPr/>
        <w:tc>
          <w:tcPr>
            <w:tcW w:w="672" w:type="dxa"/>
            <w:shd w:val="clear" w:color="ffffff" w:fill="ffffff"/>
            <w:noWrap w:val="false"/>
            <w:textDirection w:val="lrTb"/>
            <w:vAlign w:val="center"/>
          </w:tcPr>
          <w:p>
            <w:pPr>
              <w:spacing w:line="240" w:lineRule="auto"/>
              <w:ind w:firstLine="0"/>
              <w:jc w:val="center"/>
              <w:outlineLvl w:val="1"/>
              <w:rPr>
                <w:color w:val="000000" w:themeColor="text1"/>
                <w:sz w:val="22"/>
                <w:szCs w:val="22"/>
              </w:rPr>
            </w:pPr>
            <w:r>
              <w:rPr>
                <w:color w:val="000000" w:themeColor="text1"/>
                <w:sz w:val="22"/>
                <w:szCs w:val="22"/>
              </w:rPr>
              <w:t xml:space="preserve">1</w:t>
            </w:r>
            <w:r>
              <w:rPr>
                <w:color w:val="000000" w:themeColor="text1"/>
                <w:sz w:val="22"/>
                <w:szCs w:val="22"/>
              </w:rPr>
            </w:r>
          </w:p>
        </w:tc>
        <w:tc>
          <w:tcPr>
            <w:tcW w:w="2413" w:type="dxa"/>
            <w:shd w:val="clear" w:color="ffffff" w:fill="ffffff"/>
            <w:noWrap w:val="false"/>
            <w:textDirection w:val="lrTb"/>
          </w:tcPr>
          <w:p>
            <w:pPr>
              <w:spacing w:line="240" w:lineRule="auto"/>
              <w:ind w:firstLine="0"/>
              <w:jc w:val="left"/>
              <w:rPr>
                <w:color w:val="000000" w:themeColor="text1"/>
                <w:sz w:val="22"/>
                <w:szCs w:val="22"/>
              </w:rPr>
            </w:pPr>
            <w:r>
              <w:rPr>
                <w:color w:val="22272f"/>
                <w:sz w:val="22"/>
                <w:szCs w:val="22"/>
                <w:shd w:val="clear" w:color="auto" w:fill="ffffff"/>
              </w:rPr>
              <w:t xml:space="preserve">Осуществление ежемесячного мониторинга ситуации, связанной со смертельными отравлениями наркотическими средствами и психотропными веществами</w:t>
            </w:r>
            <w:r>
              <w:rPr>
                <w:color w:val="000000" w:themeColor="text1"/>
                <w:sz w:val="22"/>
                <w:szCs w:val="22"/>
              </w:rPr>
            </w:r>
          </w:p>
        </w:tc>
        <w:tc>
          <w:tcPr>
            <w:tcW w:w="6379" w:type="dxa"/>
            <w:shd w:val="clear" w:color="ffffff" w:fill="ffffff"/>
            <w:noWrap w:val="false"/>
            <w:textDirection w:val="lrTb"/>
            <w:vAlign w:val="center"/>
          </w:tcPr>
          <w:p>
            <w:pPr>
              <w:tabs>
                <w:tab w:val="left" w:pos="540" w:leader="none"/>
              </w:tabs>
              <w:spacing w:line="240" w:lineRule="auto"/>
              <w:ind w:firstLine="0"/>
              <w:rPr>
                <w:color w:val="000000" w:themeColor="text1"/>
                <w:sz w:val="22"/>
                <w:szCs w:val="22"/>
              </w:rPr>
            </w:pPr>
            <w:r>
              <w:rPr>
                <w:bCs/>
                <w:sz w:val="22"/>
                <w:szCs w:val="22"/>
              </w:rPr>
              <w:t xml:space="preserve">Мероприятие реализуется на постоянной основе</w:t>
            </w:r>
            <w:r>
              <w:rPr>
                <w:bCs/>
                <w:sz w:val="22"/>
                <w:szCs w:val="22"/>
              </w:rPr>
              <w:br/>
              <w:t xml:space="preserve">в соответствии с поручением, предусмотренным пунктом 1.7 протокола № 1 заседания Антинаркотической комиссии ХМАО-Югры в режиме ВКС от 15.03.2021, по осуществлению ежемесячного мониторинга ситуации, связанной со смертельными отравлениями наркотическ</w:t>
            </w:r>
            <w:r>
              <w:rPr>
                <w:bCs/>
                <w:sz w:val="22"/>
                <w:szCs w:val="22"/>
              </w:rPr>
              <w:t xml:space="preserve">ими средствами и психотропными веществами в рамках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w:t>
            </w:r>
            <w:r>
              <w:rPr>
                <w:color w:val="000000" w:themeColor="text1"/>
                <w:sz w:val="22"/>
                <w:szCs w:val="22"/>
              </w:rPr>
            </w:r>
          </w:p>
        </w:tc>
      </w:tr>
      <w:tr>
        <w:trPr/>
        <w:tc>
          <w:tcPr>
            <w:tcW w:w="672" w:type="dxa"/>
            <w:shd w:val="clear" w:color="ffffff" w:fill="ffffff"/>
            <w:noWrap w:val="false"/>
            <w:textDirection w:val="lrTb"/>
          </w:tcPr>
          <w:p>
            <w:pPr>
              <w:pStyle w:val="1615"/>
              <w:spacing w:line="240" w:lineRule="auto"/>
              <w:ind w:left="0" w:firstLine="0"/>
              <w:jc w:val="center"/>
              <w:rPr>
                <w:color w:val="000000"/>
                <w:sz w:val="22"/>
                <w:szCs w:val="22"/>
              </w:rPr>
            </w:pPr>
            <w:r>
              <w:rPr>
                <w:color w:val="000000"/>
                <w:sz w:val="22"/>
                <w:szCs w:val="22"/>
              </w:rPr>
              <w:t xml:space="preserve">2</w:t>
            </w:r>
            <w:r>
              <w:rPr>
                <w:color w:val="000000"/>
                <w:sz w:val="22"/>
                <w:szCs w:val="22"/>
              </w:rPr>
            </w:r>
          </w:p>
        </w:tc>
        <w:tc>
          <w:tcPr>
            <w:tcW w:w="2413" w:type="dxa"/>
            <w:shd w:val="clear" w:color="ffffff" w:fill="ffffff"/>
            <w:noWrap w:val="false"/>
            <w:textDirection w:val="lrTb"/>
          </w:tcPr>
          <w:p>
            <w:pPr>
              <w:pStyle w:val="1612"/>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w:t>
            </w:r>
            <w:r>
              <w:rPr>
                <w:rFonts w:ascii="Times New Roman" w:hAnsi="Times New Roman" w:cs="Times New Roman"/>
                <w:color w:val="000000"/>
                <w:sz w:val="22"/>
                <w:szCs w:val="22"/>
              </w:rPr>
            </w:r>
          </w:p>
        </w:tc>
        <w:tc>
          <w:tcPr>
            <w:tcW w:w="6379" w:type="dxa"/>
            <w:shd w:val="clear" w:color="ffffff" w:fill="ffffff"/>
            <w:noWrap w:val="false"/>
            <w:textDirection w:val="lrTb"/>
          </w:tcPr>
          <w:p>
            <w:pPr>
              <w:spacing w:line="240" w:lineRule="auto"/>
              <w:ind w:firstLine="0"/>
              <w:outlineLvl w:val="1"/>
              <w:rPr>
                <w:sz w:val="22"/>
                <w:szCs w:val="22"/>
              </w:rPr>
            </w:pPr>
            <w:r>
              <w:rPr>
                <w:color w:val="000000" w:themeColor="text1"/>
                <w:sz w:val="22"/>
                <w:szCs w:val="22"/>
              </w:rPr>
              <w:t xml:space="preserve">АУ ХМАО-Югры «Экспертно-координационный центр Правительства Югры «Открытый регион» в ноябре 2025 года провед</w:t>
            </w:r>
            <w:r>
              <w:rPr>
                <w:color w:val="000000" w:themeColor="text1"/>
                <w:sz w:val="22"/>
                <w:szCs w:val="22"/>
              </w:rPr>
              <w:t xml:space="preserve">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2025 года.</w:t>
            </w:r>
            <w:r>
              <w:rPr>
                <w:sz w:val="22"/>
                <w:szCs w:val="22"/>
              </w:rPr>
            </w:r>
          </w:p>
        </w:tc>
      </w:tr>
      <w:tr>
        <w:trPr/>
        <w:tc>
          <w:tcPr>
            <w:tcW w:w="672" w:type="dxa"/>
            <w:shd w:val="clear" w:color="ffffff" w:fill="ffffff"/>
            <w:noWrap w:val="false"/>
            <w:textDirection w:val="lrTb"/>
          </w:tcPr>
          <w:p>
            <w:pPr>
              <w:pStyle w:val="1615"/>
              <w:spacing w:line="240" w:lineRule="auto"/>
              <w:ind w:left="0" w:firstLine="0"/>
              <w:jc w:val="center"/>
              <w:rPr>
                <w:color w:val="000000"/>
                <w:sz w:val="22"/>
                <w:szCs w:val="22"/>
              </w:rPr>
            </w:pPr>
            <w:r>
              <w:rPr>
                <w:sz w:val="22"/>
                <w:szCs w:val="22"/>
              </w:rPr>
              <w:t xml:space="preserve">3</w:t>
            </w:r>
            <w:r>
              <w:rPr>
                <w:color w:val="000000"/>
                <w:sz w:val="22"/>
                <w:szCs w:val="22"/>
              </w:rPr>
            </w:r>
          </w:p>
        </w:tc>
        <w:tc>
          <w:tcPr>
            <w:tcW w:w="2413" w:type="dxa"/>
            <w:shd w:val="clear" w:color="ffffff" w:fill="ffffff"/>
            <w:noWrap w:val="false"/>
            <w:textDirection w:val="lrTb"/>
          </w:tcPr>
          <w:p>
            <w:pPr>
              <w:pStyle w:val="1612"/>
              <w:ind w:firstLine="0"/>
              <w:rPr>
                <w:rFonts w:ascii="Times New Roman" w:hAnsi="Times New Roman" w:cs="Times New Roman"/>
                <w:color w:val="000000" w:themeColor="text1"/>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rPr>
                <w:rFonts w:ascii="Times New Roman" w:hAnsi="Times New Roman" w:cs="Times New Roman"/>
                <w:color w:val="000000" w:themeColor="text1"/>
                <w:sz w:val="22"/>
                <w:szCs w:val="22"/>
              </w:rPr>
            </w:r>
          </w:p>
        </w:tc>
        <w:tc>
          <w:tcPr>
            <w:tcW w:w="6379" w:type="dxa"/>
            <w:shd w:val="clear" w:color="ffffff" w:fill="ffffff"/>
            <w:noWrap w:val="false"/>
            <w:textDirection w:val="lrTb"/>
          </w:tcPr>
          <w:p>
            <w:pPr>
              <w:spacing w:line="240" w:lineRule="auto"/>
              <w:ind w:firstLine="0"/>
              <w:outlineLvl w:val="1"/>
              <w:rPr>
                <w:color w:val="000000" w:themeColor="text1"/>
                <w:sz w:val="22"/>
                <w:szCs w:val="22"/>
              </w:rPr>
            </w:pPr>
            <w:r>
              <w:rPr>
                <w:bCs/>
                <w:sz w:val="22"/>
                <w:szCs w:val="22"/>
              </w:rPr>
              <w:t xml:space="preserve">По государственной программе ХМАО-Югры «Безопасность жизнедеятельности и профилактика правонарушений» </w:t>
            </w:r>
            <w:r>
              <w:rPr>
                <w:sz w:val="22"/>
                <w:szCs w:val="22"/>
              </w:rPr>
              <w:t xml:space="preserve">в 2025 году в р</w:t>
            </w:r>
            <w:r>
              <w:rPr>
                <w:sz w:val="22"/>
                <w:szCs w:val="22"/>
              </w:rPr>
              <w:t xml:space="preserve">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2.2. «Профилактика незаконного оборота и потребления наркотических средств и психотропных ве</w:t>
            </w:r>
            <w:r>
              <w:rPr>
                <w:sz w:val="22"/>
                <w:szCs w:val="22"/>
              </w:rPr>
              <w:t xml:space="preserve">ществ» реализуются мероприятия по материально-техническому сопровождению деятельности субъектов профилактики наркомании, 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w:t>
            </w:r>
            <w:r>
              <w:rPr>
                <w:sz w:val="22"/>
                <w:szCs w:val="22"/>
              </w:rPr>
              <w:br/>
              <w:t xml:space="preserve">с тандемным масс-спектрометрическим детектором в пяти специализированных психоневрологических больницах автономного округа; приобретены: медиц</w:t>
            </w:r>
            <w:r>
              <w:rPr>
                <w:sz w:val="22"/>
                <w:szCs w:val="22"/>
              </w:rPr>
              <w:t xml:space="preserve">инское оборудование (лабораторный микроскоп оптический – 1 шт.,  медицинский морозильник – 1 шт.); реагенты медицинские диагностические для раннего выявления наркотических и психотропных веществ в количестве 1128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color w:val="000000" w:themeColor="text1"/>
                <w:sz w:val="22"/>
                <w:szCs w:val="22"/>
              </w:rPr>
            </w:r>
          </w:p>
        </w:tc>
      </w:tr>
      <w:tr>
        <w:trPr>
          <w:trHeight w:val="10811"/>
        </w:trPr>
        <w:tc>
          <w:tcPr>
            <w:tcW w:w="672" w:type="dxa"/>
            <w:shd w:val="clear" w:color="ffffff" w:fill="ffffff"/>
            <w:noWrap w:val="false"/>
            <w:textDirection w:val="lrTb"/>
          </w:tcPr>
          <w:p>
            <w:pPr>
              <w:pStyle w:val="1615"/>
              <w:spacing w:line="240" w:lineRule="auto"/>
              <w:ind w:left="0" w:firstLine="0"/>
              <w:jc w:val="center"/>
              <w:rPr>
                <w:sz w:val="22"/>
                <w:szCs w:val="22"/>
              </w:rPr>
            </w:pPr>
            <w:r>
              <w:rPr>
                <w:sz w:val="22"/>
                <w:szCs w:val="22"/>
              </w:rPr>
              <w:t xml:space="preserve">4</w:t>
            </w:r>
            <w:r>
              <w:rPr>
                <w:sz w:val="22"/>
                <w:szCs w:val="22"/>
              </w:rPr>
            </w:r>
          </w:p>
        </w:tc>
        <w:tc>
          <w:tcPr>
            <w:tcW w:w="2413" w:type="dxa"/>
            <w:shd w:val="clear" w:color="ffffff" w:fill="ffffff"/>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грантов Губернатора автономного округа на развитие гражданского общества социально ориентированным</w:t>
            </w:r>
            <w:r>
              <w:rPr>
                <w:rFonts w:ascii="Times New Roman" w:hAnsi="Times New Roman" w:cs="Times New Roman"/>
                <w:sz w:val="22"/>
                <w:szCs w:val="22"/>
              </w:rPr>
              <w:t xml:space="preserve">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Pr>
                <w:rFonts w:ascii="Times New Roman" w:hAnsi="Times New Roman" w:cs="Times New Roman"/>
                <w:sz w:val="22"/>
                <w:szCs w:val="22"/>
              </w:rPr>
            </w:r>
          </w:p>
          <w:p>
            <w:pPr>
              <w:pStyle w:val="1612"/>
              <w:ind w:firstLine="0"/>
              <w:rPr>
                <w:rFonts w:ascii="Times New Roman" w:hAnsi="Times New Roman" w:cs="Times New Roman"/>
                <w:sz w:val="22"/>
                <w:szCs w:val="22"/>
              </w:rPr>
            </w:pPr>
            <w:r>
              <w:rPr>
                <w:rFonts w:ascii="Times New Roman" w:hAnsi="Times New Roman" w:cs="Times New Roman"/>
                <w:sz w:val="22"/>
                <w:szCs w:val="22"/>
              </w:rPr>
            </w:r>
            <w:r>
              <w:rPr>
                <w:rFonts w:ascii="Times New Roman" w:hAnsi="Times New Roman" w:cs="Times New Roman"/>
                <w:sz w:val="22"/>
                <w:szCs w:val="22"/>
              </w:rPr>
            </w:r>
          </w:p>
        </w:tc>
        <w:tc>
          <w:tcPr>
            <w:tcW w:w="6379" w:type="dxa"/>
            <w:shd w:val="clear" w:color="ffffff" w:fill="ffffff"/>
            <w:noWrap w:val="false"/>
            <w:textDirection w:val="lrTb"/>
          </w:tcPr>
          <w:p>
            <w:pPr>
              <w:pStyle w:val="1646"/>
              <w:jc w:val="both"/>
              <w:rPr>
                <w:rFonts w:ascii="Times New Roman" w:hAnsi="Times New Roman" w:cs="Times New Roman"/>
              </w:rPr>
            </w:pPr>
            <w:r>
              <w:rPr>
                <w:rFonts w:ascii="Times New Roman" w:hAnsi="Times New Roman" w:cs="Times New Roman"/>
              </w:rPr>
              <w:t xml:space="preserve">В соответствии с государственной программой ХМАО-Югры «Развитие гражданского общества», постановлением Губернатора автономного округа от 31.10.2018 № 108 «О грантах Губернатора Ханты-Мансийского автономного округа – Югры на развитие гражданского общест</w:t>
            </w:r>
            <w:r>
              <w:rPr>
                <w:rFonts w:ascii="Times New Roman" w:hAnsi="Times New Roman" w:cs="Times New Roman"/>
              </w:rPr>
              <w:t xml:space="preserve">ва» (далее – гранты Губернатора) на территории автономного округа ежегодно проводятся конкурсы на предоставление грантов Губернатора социально ориентированным некоммерческим организациям (далее – конкурсы, СОНКО) для реализации социально значимых проектов.</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2025 году в </w:t>
            </w:r>
            <w:r>
              <w:rPr>
                <w:rFonts w:ascii="Times New Roman" w:hAnsi="Times New Roman" w:cs="Times New Roman"/>
              </w:rPr>
              <w:t xml:space="preserve">грантовом</w:t>
            </w:r>
            <w:r>
              <w:rPr>
                <w:rFonts w:ascii="Times New Roman" w:hAnsi="Times New Roman" w:cs="Times New Roman"/>
              </w:rPr>
              <w:t xml:space="preserve"> направлении «Охрана здоровья, пропаганда здорового образа жизни, физической культуры и спорта» финансовая поддержка была предоставлена на реализацию 19 проектов. В рамках </w:t>
            </w:r>
            <w:r>
              <w:rPr>
                <w:rFonts w:ascii="Times New Roman" w:hAnsi="Times New Roman" w:cs="Times New Roman"/>
              </w:rPr>
              <w:t xml:space="preserve">поднаправления</w:t>
            </w:r>
            <w:r>
              <w:rPr>
                <w:rFonts w:ascii="Times New Roman" w:hAnsi="Times New Roman" w:cs="Times New Roman"/>
              </w:rPr>
              <w:t xml:space="preserve"> «Профилактика курения, алкоголизма, наркомании и иных опасных для человека зависимостей, содействие снижению количества люд</w:t>
            </w:r>
            <w:r>
              <w:rPr>
                <w:rFonts w:ascii="Times New Roman" w:hAnsi="Times New Roman" w:cs="Times New Roman"/>
              </w:rPr>
              <w:t xml:space="preserve">ей, подверженных таким зависимостям» финансовая поддержка в размере 836 518,00 руб. была предоставлена на реализацию проекта «Использование интерактивных методов и виртуальной реальности для проведения мероприятий по профилактике/реабилитации наркомании». </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По состоянию на 01.02.2026 с начала реализации проекта проведено 7 заняти</w:t>
            </w:r>
            <w:r>
              <w:rPr>
                <w:rFonts w:ascii="Times New Roman" w:hAnsi="Times New Roman" w:cs="Times New Roman"/>
              </w:rPr>
              <w:t xml:space="preserve">й по первичной профилактике последствий употребления ПАВ, участниками которых стали 120 человек. Закупленные комплекты VR-очков настроены и готовы к работе, подбираются программы для использования в работе с зависимым поведением. Психологи и специалисты ор</w:t>
            </w:r>
            <w:r>
              <w:rPr>
                <w:rFonts w:ascii="Times New Roman" w:hAnsi="Times New Roman" w:cs="Times New Roman"/>
              </w:rPr>
              <w:t xml:space="preserve">ганизации обучаются работе с использованием VR-очков. Создан план проведения консультаций с зависимыми с использованием метода виртуальной реальности. Для решения этой задачи в помещении АНО ЦСР «Феникс» подготовили видеостудию, в которой повесили баннер (</w:t>
            </w:r>
            <w:r>
              <w:rPr>
                <w:rFonts w:ascii="Times New Roman" w:hAnsi="Times New Roman" w:cs="Times New Roman"/>
              </w:rPr>
              <w:t xml:space="preserve">прессволл</w:t>
            </w:r>
            <w:r>
              <w:rPr>
                <w:rFonts w:ascii="Times New Roman" w:hAnsi="Times New Roman" w:cs="Times New Roman"/>
              </w:rPr>
              <w:t xml:space="preserve">). На средства гранта приобрели видеокамеру </w:t>
            </w:r>
            <w:r>
              <w:rPr>
                <w:rFonts w:ascii="Times New Roman" w:hAnsi="Times New Roman" w:cs="Times New Roman"/>
              </w:rPr>
              <w:t xml:space="preserve">Экшн</w:t>
            </w:r>
            <w:r>
              <w:rPr>
                <w:rFonts w:ascii="Times New Roman" w:hAnsi="Times New Roman" w:cs="Times New Roman"/>
              </w:rPr>
              <w:t xml:space="preserve">-камера DJI </w:t>
            </w:r>
            <w:r>
              <w:rPr>
                <w:rFonts w:ascii="Times New Roman" w:hAnsi="Times New Roman" w:cs="Times New Roman"/>
              </w:rPr>
              <w:t xml:space="preserve">Osmo</w:t>
            </w:r>
            <w:r>
              <w:rPr>
                <w:rFonts w:ascii="Times New Roman" w:hAnsi="Times New Roman" w:cs="Times New Roman"/>
              </w:rPr>
              <w:t xml:space="preserve"> </w:t>
            </w:r>
            <w:r>
              <w:rPr>
                <w:rFonts w:ascii="Times New Roman" w:hAnsi="Times New Roman" w:cs="Times New Roman"/>
              </w:rPr>
              <w:t xml:space="preserve">Pocket</w:t>
            </w:r>
            <w:r>
              <w:rPr>
                <w:rFonts w:ascii="Times New Roman" w:hAnsi="Times New Roman" w:cs="Times New Roman"/>
              </w:rPr>
              <w:t xml:space="preserve"> 3 для съемки информационного и профилактического контента самостоятельно и в сотрудничестве с НКО, с молодежными и образовательными организациями.</w:t>
            </w:r>
            <w:r>
              <w:rPr>
                <w:rFonts w:ascii="Times New Roman" w:hAnsi="Times New Roman" w:cs="Times New Roman"/>
              </w:rPr>
            </w:r>
          </w:p>
          <w:p>
            <w:pPr>
              <w:spacing w:line="240" w:lineRule="auto"/>
              <w:ind w:firstLine="0"/>
              <w:outlineLvl w:val="1"/>
              <w:rPr>
                <w:sz w:val="22"/>
                <w:szCs w:val="22"/>
              </w:rPr>
            </w:pPr>
            <w:r>
              <w:rPr>
                <w:sz w:val="22"/>
                <w:szCs w:val="22"/>
              </w:rPr>
              <w:t xml:space="preserve">В 2024 году в </w:t>
            </w:r>
            <w:r>
              <w:rPr>
                <w:sz w:val="22"/>
                <w:szCs w:val="22"/>
              </w:rPr>
              <w:t xml:space="preserve">грантовом</w:t>
            </w:r>
            <w:r>
              <w:rPr>
                <w:sz w:val="22"/>
                <w:szCs w:val="22"/>
              </w:rPr>
              <w:t xml:space="preserve"> направлении «Охрана здоровья, пропаганда здорового образа жизни, физической культуры и спорта» финансовая поддержка была предоставлена на реализацию 25 проектов. В рамках </w:t>
            </w:r>
            <w:r>
              <w:rPr>
                <w:sz w:val="22"/>
                <w:szCs w:val="22"/>
              </w:rPr>
              <w:t xml:space="preserve">поднаправления</w:t>
            </w:r>
            <w:r>
              <w:rPr>
                <w:sz w:val="22"/>
                <w:szCs w:val="22"/>
              </w:rPr>
              <w:t xml:space="preserve"> «Профилактика курения</w:t>
            </w:r>
            <w:r>
              <w:rPr>
                <w:sz w:val="22"/>
                <w:szCs w:val="22"/>
              </w:rPr>
              <w:t xml:space="preserve">, алкоголизма, наркомании и иных опасных для человека зависимостей, содействие снижению количества людей, подверженных таким зависимостям» финансовая поддержка в размере 975 620,00 руб. была предоставлена на реализацию проекта «Вредным привычкам – «Нет!», </w:t>
            </w:r>
            <w:r>
              <w:rPr>
                <w:sz w:val="22"/>
                <w:szCs w:val="22"/>
              </w:rPr>
              <w:t xml:space="preserve">киберспорту</w:t>
            </w:r>
            <w:r>
              <w:rPr>
                <w:sz w:val="22"/>
                <w:szCs w:val="22"/>
              </w:rPr>
              <w:t xml:space="preserve"> – «ДА!»</w:t>
            </w:r>
            <w:r>
              <w:rPr>
                <w:sz w:val="22"/>
                <w:szCs w:val="22"/>
              </w:rPr>
            </w:r>
          </w:p>
        </w:tc>
      </w:tr>
    </w:tbl>
    <w:p>
      <w:pPr>
        <w:pStyle w:val="1612"/>
        <w:spacing w:line="278" w:lineRule="auto"/>
        <w:rPr>
          <w:sz w:val="28"/>
          <w:szCs w:val="28"/>
        </w:rPr>
      </w:pPr>
      <w:r>
        <w:rPr>
          <w:sz w:val="28"/>
          <w:szCs w:val="28"/>
        </w:rPr>
      </w:r>
      <w:r>
        <w:rPr>
          <w:sz w:val="28"/>
          <w:szCs w:val="28"/>
        </w:rPr>
      </w:r>
    </w:p>
    <w:p>
      <w:pPr>
        <w:widowControl w:val="off"/>
        <w:spacing w:line="278" w:lineRule="auto"/>
        <w:ind w:firstLine="709"/>
        <w:rPr>
          <w:b/>
          <w:i/>
        </w:rPr>
      </w:pPr>
      <w:r>
        <w:rPr>
          <w:b/>
          <w:i/>
        </w:rPr>
        <w:t xml:space="preserve">2. «Профилактика и раннее выявление незаконного потребления наркотиков»</w:t>
      </w:r>
      <w:r>
        <w:rPr>
          <w:b/>
          <w:i/>
        </w:rPr>
      </w:r>
    </w:p>
    <w:p>
      <w:pPr>
        <w:widowControl w:val="off"/>
        <w:spacing w:line="278" w:lineRule="auto"/>
        <w:ind w:firstLine="709"/>
      </w:pPr>
      <w:r>
        <w:t xml:space="preserve">Задачи, решаемые в этом приоритетном направлении:</w:t>
      </w:r>
    </w:p>
    <w:p>
      <w:pPr>
        <w:widowControl w:val="off"/>
        <w:spacing w:line="278" w:lineRule="auto"/>
        <w:ind w:firstLine="709"/>
      </w:pPr>
      <w:r>
        <w:t xml:space="preserve">формирование на общих методологических основаниях системы комплексной антинаркотической профилактической деятельности;</w:t>
      </w:r>
    </w:p>
    <w:p>
      <w:pPr>
        <w:widowControl w:val="off"/>
        <w:spacing w:line="278" w:lineRule="auto"/>
        <w:ind w:firstLine="709"/>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pPr>
        <w:pStyle w:val="1615"/>
        <w:widowControl w:val="off"/>
        <w:spacing w:line="278" w:lineRule="auto"/>
        <w:ind w:left="0" w:firstLine="709"/>
      </w:pPr>
      <w:r>
        <w:t xml:space="preserve">Меры, обеспечивающие решение указанных задач:</w:t>
      </w:r>
    </w:p>
    <w:p>
      <w:pPr>
        <w:widowControl w:val="off"/>
        <w:spacing w:line="278" w:lineRule="auto"/>
        <w:ind w:firstLine="709"/>
      </w:pPr>
      <w:r>
        <w:t xml:space="preserve">развитие инфраструктуры, форм и методов первичной профилактики незаконного потребления наркотиков; </w:t>
      </w:r>
    </w:p>
    <w:p>
      <w:pPr>
        <w:widowControl w:val="off"/>
        <w:spacing w:line="278" w:lineRule="auto"/>
        <w:ind w:firstLine="709"/>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pPr>
        <w:widowControl w:val="off"/>
        <w:spacing w:line="278" w:lineRule="auto"/>
        <w:ind w:firstLine="709"/>
      </w:pPr>
      <w:r>
        <w:t xml:space="preserve">расширение практики использования универсальных педагогических методик (тренинг, проектная деятельность, другие методики);</w:t>
      </w:r>
    </w:p>
    <w:p>
      <w:pPr>
        <w:widowControl w:val="off"/>
        <w:spacing w:line="278" w:lineRule="auto"/>
        <w:ind w:firstLine="709"/>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духовно-нравственного воспитания граждан, в особенности детей и молодежи;</w:t>
      </w:r>
    </w:p>
    <w:p>
      <w:pPr>
        <w:widowControl w:val="off"/>
        <w:spacing w:line="278" w:lineRule="auto"/>
        <w:ind w:firstLine="709"/>
      </w:pPr>
      <w:r>
        <w:t xml:space="preserve">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pPr>
        <w:widowControl w:val="off"/>
        <w:spacing w:line="278" w:lineRule="auto"/>
        <w:ind w:firstLine="709"/>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p>
    <w:p>
      <w:pPr>
        <w:widowControl w:val="off"/>
        <w:spacing w:line="278" w:lineRule="auto"/>
        <w:ind w:firstLine="709"/>
      </w:pPr>
      <w:r>
        <w:t xml:space="preserve">активное привлечение добровольцев (волонтеров) к участию </w:t>
      </w:r>
      <w:r>
        <w:br/>
        <w:t xml:space="preserve">в реализации антинаркотической политики;</w:t>
      </w:r>
    </w:p>
    <w:p>
      <w:pPr>
        <w:widowControl w:val="off"/>
        <w:spacing w:line="278" w:lineRule="auto"/>
        <w:ind w:firstLine="709"/>
      </w:pPr>
      <w:r>
        <w:t xml:space="preserve">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p>
    <w:p>
      <w:pPr>
        <w:widowControl w:val="off"/>
        <w:spacing w:line="278" w:lineRule="auto"/>
        <w:ind w:firstLine="709"/>
      </w:pPr>
      <w:r>
        <w:t xml:space="preserve">организация сотрудничества со средствами массовой информации по вопросам ант</w:t>
      </w:r>
      <w:r>
        <w:t xml:space="preserve">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p>
    <w:p>
      <w:pPr>
        <w:widowControl w:val="off"/>
        <w:spacing w:line="278" w:lineRule="auto"/>
        <w:ind w:firstLine="709"/>
      </w:pPr>
      <w:r>
        <w:t xml:space="preserve">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pPr>
        <w:widowControl w:val="off"/>
        <w:spacing w:line="278" w:lineRule="auto"/>
        <w:jc w:val="center"/>
      </w:pPr>
      <w:r>
        <w:t xml:space="preserve">Информация о реализации указанного приоритетного направления:</w:t>
      </w:r>
    </w:p>
    <w:p>
      <w:pPr>
        <w:tabs>
          <w:tab w:val="left" w:pos="540" w:leader="none"/>
        </w:tabs>
        <w:spacing w:line="278" w:lineRule="auto"/>
        <w:ind w:firstLine="0"/>
      </w:pPr>
    </w:p>
    <w:p>
      <w:pPr>
        <w:tabs>
          <w:tab w:val="left" w:pos="540" w:leader="none"/>
        </w:tabs>
        <w:spacing w:line="278" w:lineRule="auto"/>
        <w:ind w:firstLine="0"/>
      </w:pPr>
    </w:p>
    <w:tbl>
      <w:tblPr>
        <w:tblStyle w:val="1614"/>
        <w:tblW w:w="0" w:type="auto"/>
        <w:tblLook w:val="04A0" w:firstRow="1" w:lastRow="0" w:firstColumn="1" w:lastColumn="0" w:noHBand="0" w:noVBand="1"/>
      </w:tblPr>
      <w:tblGrid>
        <w:gridCol w:w="577"/>
        <w:gridCol w:w="2753"/>
        <w:gridCol w:w="6014"/>
      </w:tblGrid>
      <w:tr>
        <w:trPr>
          <w:tblHeader/>
        </w:trPr>
        <w:tc>
          <w:tcPr>
            <w:tcW w:w="581" w:type="dxa"/>
            <w:noWrap w:val="false"/>
            <w:textDirection w:val="lrTb"/>
            <w:vAlign w:val="center"/>
          </w:tcPr>
          <w:p>
            <w:pPr>
              <w:spacing w:line="240" w:lineRule="auto"/>
              <w:ind w:firstLine="0"/>
              <w:jc w:val="center"/>
              <w:outlineLvl w:val="1"/>
              <w:rPr>
                <w:sz w:val="22"/>
                <w:szCs w:val="22"/>
              </w:rPr>
            </w:pPr>
            <w:r>
              <w:rPr>
                <w:sz w:val="22"/>
                <w:szCs w:val="22"/>
              </w:rPr>
              <w:t xml:space="preserve">№ п/п</w:t>
            </w:r>
            <w:r>
              <w:rPr>
                <w:sz w:val="22"/>
                <w:szCs w:val="22"/>
              </w:rPr>
            </w:r>
          </w:p>
        </w:tc>
        <w:tc>
          <w:tcPr>
            <w:tcW w:w="2788" w:type="dxa"/>
            <w:noWrap w:val="false"/>
            <w:textDirection w:val="lrTb"/>
            <w:vAlign w:val="center"/>
          </w:tcPr>
          <w:p>
            <w:pPr>
              <w:spacing w:line="240" w:lineRule="auto"/>
              <w:ind w:firstLine="0"/>
              <w:jc w:val="center"/>
              <w:rPr>
                <w:sz w:val="22"/>
                <w:szCs w:val="22"/>
              </w:rPr>
            </w:pPr>
            <w:r>
              <w:rPr>
                <w:sz w:val="22"/>
                <w:szCs w:val="22"/>
              </w:rPr>
              <w:t xml:space="preserve">Мероприятия</w:t>
            </w:r>
            <w:r>
              <w:rPr>
                <w:sz w:val="22"/>
                <w:szCs w:val="22"/>
              </w:rPr>
            </w:r>
          </w:p>
        </w:tc>
        <w:tc>
          <w:tcPr>
            <w:tcW w:w="6201" w:type="dxa"/>
            <w:noWrap w:val="false"/>
            <w:textDirection w:val="lrTb"/>
            <w:vAlign w:val="center"/>
          </w:tcPr>
          <w:p>
            <w:pPr>
              <w:tabs>
                <w:tab w:val="left" w:pos="540" w:leader="none"/>
              </w:tabs>
              <w:spacing w:line="240" w:lineRule="auto"/>
              <w:ind w:firstLine="0"/>
              <w:jc w:val="center"/>
              <w:rPr>
                <w:sz w:val="22"/>
                <w:szCs w:val="22"/>
              </w:rPr>
            </w:pPr>
            <w:r>
              <w:rPr>
                <w:sz w:val="22"/>
                <w:szCs w:val="22"/>
              </w:rPr>
              <w:t xml:space="preserve">Информация о реализации</w:t>
            </w:r>
            <w:r>
              <w:rPr>
                <w:sz w:val="22"/>
                <w:szCs w:val="22"/>
              </w:rPr>
            </w:r>
          </w:p>
        </w:tc>
      </w:tr>
      <w:tr>
        <w:trPr/>
        <w:tc>
          <w:tcPr>
            <w:tcW w:w="581" w:type="dxa"/>
            <w:noWrap w:val="false"/>
            <w:textDirection w:val="lrTb"/>
          </w:tcPr>
          <w:p>
            <w:pPr>
              <w:tabs>
                <w:tab w:val="center" w:pos="182" w:leader="none"/>
              </w:tabs>
              <w:spacing w:line="240" w:lineRule="auto"/>
              <w:ind w:firstLine="0"/>
              <w:jc w:val="center"/>
              <w:outlineLvl w:val="1"/>
              <w:rPr>
                <w:sz w:val="22"/>
                <w:szCs w:val="22"/>
              </w:rPr>
            </w:pPr>
            <w:r>
              <w:rPr>
                <w:sz w:val="22"/>
                <w:szCs w:val="22"/>
              </w:rPr>
              <w:t xml:space="preserve">1</w:t>
            </w:r>
            <w:r>
              <w:rPr>
                <w:sz w:val="22"/>
                <w:szCs w:val="22"/>
              </w:rPr>
            </w:r>
          </w:p>
        </w:tc>
        <w:tc>
          <w:tcPr>
            <w:tcW w:w="2788"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rPr>
                <w:rFonts w:ascii="Times New Roman" w:hAnsi="Times New Roman" w:cs="Times New Roman"/>
                <w:sz w:val="22"/>
                <w:szCs w:val="22"/>
              </w:rPr>
            </w:r>
          </w:p>
        </w:tc>
        <w:tc>
          <w:tcPr>
            <w:tcW w:w="6201" w:type="dxa"/>
            <w:noWrap w:val="false"/>
            <w:textDirection w:val="lrTb"/>
          </w:tcPr>
          <w:p>
            <w:pPr>
              <w:spacing w:line="240" w:lineRule="auto"/>
              <w:ind w:firstLine="0"/>
              <w:outlineLvl w:val="1"/>
              <w:rPr>
                <w:sz w:val="22"/>
                <w:szCs w:val="22"/>
                <w:highlight w:val="yellow"/>
              </w:rPr>
            </w:pPr>
            <w:r>
              <w:rPr>
                <w:sz w:val="22"/>
                <w:szCs w:val="22"/>
              </w:rPr>
              <w:t xml:space="preserve">По государственной программе ХМАО-Югры «Развитие образования» в 2025 году в рамках комплекса процессных мероприятий 3.3. «Содействие р</w:t>
            </w:r>
            <w:r>
              <w:rPr>
                <w:sz w:val="22"/>
                <w:szCs w:val="22"/>
              </w:rPr>
              <w:t xml:space="preserve">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w:t>
            </w:r>
            <w:r>
              <w:rPr>
                <w:sz w:val="22"/>
                <w:szCs w:val="22"/>
              </w:rPr>
              <w:t xml:space="preserve">MiniCap</w:t>
            </w:r>
            <w:r>
              <w:rPr>
                <w:sz w:val="22"/>
                <w:szCs w:val="22"/>
              </w:rPr>
              <w:t xml:space="preserve"> в количестве 3 наборов д</w:t>
            </w:r>
            <w:r>
              <w:rPr>
                <w:sz w:val="22"/>
                <w:szCs w:val="22"/>
              </w:rPr>
              <w:t xml:space="preserve">ля определения состояний употребления алкоголя, реагенты медицинские диагностические погружного типа для выявления наркотических веществ в количестве 448 шт., для раннего выявления незаконного потребления наркотиков и иных токсических психоактивных веществ</w:t>
            </w:r>
            <w:r>
              <w:rPr>
                <w:sz w:val="22"/>
                <w:szCs w:val="22"/>
                <w:highlight w:val="yellow"/>
              </w:rPr>
            </w:r>
          </w:p>
        </w:tc>
      </w:tr>
      <w:tr>
        <w:trPr/>
        <w:tc>
          <w:tcPr>
            <w:tcW w:w="581" w:type="dxa"/>
            <w:noWrap w:val="false"/>
            <w:textDirection w:val="lrTb"/>
          </w:tcPr>
          <w:p>
            <w:pPr>
              <w:spacing w:line="240" w:lineRule="auto"/>
              <w:ind w:firstLine="0"/>
              <w:jc w:val="center"/>
              <w:outlineLvl w:val="1"/>
              <w:rPr>
                <w:sz w:val="22"/>
                <w:szCs w:val="22"/>
                <w:highlight w:val="yellow"/>
              </w:rPr>
            </w:pPr>
            <w:r>
              <w:rPr>
                <w:sz w:val="22"/>
                <w:szCs w:val="22"/>
              </w:rPr>
              <w:t xml:space="preserve">2</w:t>
            </w:r>
            <w:r>
              <w:rPr>
                <w:sz w:val="22"/>
                <w:szCs w:val="22"/>
                <w:highlight w:val="yellow"/>
              </w:rPr>
            </w:r>
          </w:p>
        </w:tc>
        <w:tc>
          <w:tcPr>
            <w:tcW w:w="2788" w:type="dxa"/>
            <w:noWrap w:val="false"/>
            <w:textDirection w:val="lrTb"/>
          </w:tcPr>
          <w:p>
            <w:pPr>
              <w:pStyle w:val="1612"/>
              <w:ind w:firstLine="0"/>
              <w:rPr>
                <w:rFonts w:ascii="Times New Roman" w:hAnsi="Times New Roman" w:cs="Times New Roman"/>
                <w:sz w:val="22"/>
                <w:szCs w:val="22"/>
                <w:highlight w:val="yellow"/>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rPr>
                <w:rFonts w:ascii="Times New Roman" w:hAnsi="Times New Roman" w:cs="Times New Roman"/>
                <w:sz w:val="22"/>
                <w:szCs w:val="22"/>
                <w:highlight w:val="yellow"/>
              </w:rPr>
            </w:r>
          </w:p>
        </w:tc>
        <w:tc>
          <w:tcPr>
            <w:tcW w:w="6201" w:type="dxa"/>
            <w:noWrap w:val="false"/>
            <w:textDirection w:val="lrTb"/>
          </w:tcPr>
          <w:p>
            <w:pPr>
              <w:spacing w:line="240" w:lineRule="auto"/>
              <w:ind w:firstLine="0"/>
              <w:outlineLvl w:val="1"/>
              <w:rPr>
                <w:sz w:val="22"/>
                <w:szCs w:val="22"/>
              </w:rPr>
            </w:pPr>
            <w:r>
              <w:rPr>
                <w:bCs/>
                <w:sz w:val="22"/>
                <w:szCs w:val="22"/>
              </w:rPr>
              <w:t xml:space="preserve">По государственной программе </w:t>
            </w:r>
            <w:r>
              <w:rPr>
                <w:sz w:val="22"/>
                <w:szCs w:val="22"/>
              </w:rPr>
              <w:t xml:space="preserve">ХМАО-Югры </w:t>
            </w:r>
            <w:r>
              <w:rPr>
                <w:bCs/>
                <w:sz w:val="22"/>
                <w:szCs w:val="22"/>
              </w:rPr>
              <w:t xml:space="preserve">«Безопасность жизнедеятельности и профилактика правонарушений»</w:t>
            </w:r>
            <w:r>
              <w:rPr>
                <w:sz w:val="22"/>
                <w:szCs w:val="22"/>
              </w:rPr>
              <w:t xml:space="preserve"> в 2025 году в р</w:t>
            </w:r>
            <w:r>
              <w:rPr>
                <w:sz w:val="22"/>
                <w:szCs w:val="22"/>
              </w:rPr>
              <w:t xml:space="preserve">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2.2. «Профилактика незаконного оборота и потребления наркотических средств и психотропных ве</w:t>
            </w:r>
            <w:r>
              <w:rPr>
                <w:sz w:val="22"/>
                <w:szCs w:val="22"/>
              </w:rPr>
              <w:t xml:space="preserve">ществ» реализуются мероприятия по материально-техническому сопровождению деятельности субъектов профилактики наркомании, 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w:t>
            </w:r>
            <w:r>
              <w:rPr>
                <w:sz w:val="22"/>
                <w:szCs w:val="22"/>
              </w:rPr>
              <w:br/>
              <w:t xml:space="preserve">с тандемным масс-спектрометрическим детектором в пяти специализированных психоневрологических больницах автономного округа; приобретены: медиц</w:t>
            </w:r>
            <w:r>
              <w:rPr>
                <w:sz w:val="22"/>
                <w:szCs w:val="22"/>
              </w:rPr>
              <w:t xml:space="preserve">инское оборудование (лабораторный микроскоп оптический – 1 шт.,  медицинский морозильник – 1 шт.); реагенты медицинские диагностические для раннего выявления наркотических и психотропных веществ в количестве 1128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sz w:val="22"/>
                <w:szCs w:val="22"/>
              </w:rPr>
            </w:r>
          </w:p>
          <w:p>
            <w:pPr>
              <w:spacing w:line="240" w:lineRule="auto"/>
              <w:ind w:firstLine="0"/>
              <w:outlineLvl w:val="1"/>
              <w:rPr>
                <w:sz w:val="22"/>
                <w:szCs w:val="22"/>
              </w:rPr>
            </w:pPr>
            <w:r>
              <w:rPr>
                <w:sz w:val="22"/>
                <w:szCs w:val="22"/>
              </w:rPr>
              <w:t xml:space="preserve">По результатам социально-психологического тестирования</w:t>
            </w:r>
            <w:r>
              <w:rPr>
                <w:sz w:val="22"/>
                <w:szCs w:val="22"/>
              </w:rPr>
              <w:br/>
              <w:t xml:space="preserve">в 2024-2025 учебном году профилактическим медицинским осмотрам подлежали 1652 человека – группа </w:t>
            </w:r>
            <w:r>
              <w:rPr>
                <w:sz w:val="22"/>
                <w:szCs w:val="22"/>
              </w:rPr>
              <w:t xml:space="preserve">рискогенного</w:t>
            </w:r>
            <w:r>
              <w:rPr>
                <w:sz w:val="22"/>
                <w:szCs w:val="22"/>
              </w:rP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w:t>
            </w:r>
            <w:r>
              <w:rPr>
                <w:sz w:val="22"/>
                <w:szCs w:val="22"/>
              </w:rPr>
              <w:t xml:space="preserve">медицинскими осмотрами 1158 человек (70,1%), от числа обучающихся из группы </w:t>
            </w:r>
            <w:r>
              <w:rPr>
                <w:sz w:val="22"/>
                <w:szCs w:val="22"/>
              </w:rPr>
              <w:t xml:space="preserve">рискогенного</w:t>
            </w:r>
            <w:r>
              <w:rPr>
                <w:sz w:val="22"/>
                <w:szCs w:val="22"/>
              </w:rPr>
              <w:t xml:space="preserve"> поведения.</w:t>
            </w:r>
            <w:r>
              <w:rPr>
                <w:sz w:val="22"/>
                <w:szCs w:val="22"/>
              </w:rPr>
            </w:r>
          </w:p>
          <w:p>
            <w:pPr>
              <w:spacing w:line="240" w:lineRule="auto"/>
              <w:ind w:firstLine="0"/>
              <w:outlineLvl w:val="1"/>
              <w:rPr>
                <w:sz w:val="22"/>
                <w:szCs w:val="22"/>
              </w:rPr>
            </w:pPr>
            <w:r>
              <w:rPr>
                <w:sz w:val="22"/>
                <w:szCs w:val="22"/>
              </w:rPr>
              <w:t xml:space="preserve">При этом количество обучающихся не прошедших профилактические медицинские осмотры по уважительным причинам, составило 67 человек (4,1%). Отказались</w:t>
            </w:r>
            <w:r>
              <w:rPr>
                <w:sz w:val="22"/>
                <w:szCs w:val="22"/>
              </w:rPr>
              <w:br/>
              <w:t xml:space="preserve">от прохождения профилактических медицинских осмотров 427 человек (25,8%). </w:t>
            </w:r>
            <w:r>
              <w:rPr>
                <w:sz w:val="22"/>
                <w:szCs w:val="22"/>
              </w:rPr>
            </w:r>
          </w:p>
          <w:p>
            <w:pPr>
              <w:spacing w:line="240" w:lineRule="auto"/>
              <w:ind w:firstLine="0"/>
              <w:outlineLvl w:val="1"/>
              <w:rPr>
                <w:sz w:val="22"/>
                <w:szCs w:val="22"/>
              </w:rPr>
            </w:pPr>
            <w:r>
              <w:rPr>
                <w:sz w:val="22"/>
                <w:szCs w:val="22"/>
              </w:rPr>
              <w:t xml:space="preserve">Из числа осмотренных выявлены 2 случая положительных ХТИ (0,2%):</w:t>
            </w:r>
            <w:r>
              <w:rPr>
                <w:sz w:val="22"/>
                <w:szCs w:val="22"/>
              </w:rPr>
            </w:r>
          </w:p>
          <w:p>
            <w:pPr>
              <w:spacing w:line="240" w:lineRule="auto"/>
              <w:ind w:firstLine="0"/>
              <w:outlineLvl w:val="1"/>
              <w:rPr>
                <w:sz w:val="22"/>
                <w:szCs w:val="22"/>
              </w:rPr>
            </w:pPr>
            <w:r>
              <w:rPr>
                <w:sz w:val="22"/>
                <w:szCs w:val="22"/>
              </w:rPr>
              <w:t xml:space="preserve">- по территории г. Сургута в 1-м случае по предварительным результата</w:t>
            </w:r>
            <w:r>
              <w:rPr>
                <w:sz w:val="22"/>
                <w:szCs w:val="22"/>
              </w:rPr>
              <w:t xml:space="preserve">м ХТИ были выявлены в биологических средах барбитураты – 1 случай (м, СОШ). На подтверждающих ХТИ получен положительный результат на барбитураты. Пациент принимает назначенные лечащим врачом препараты в связи с заболеванием, наблюдается врачом-психиатром. </w:t>
            </w:r>
            <w:r>
              <w:rPr>
                <w:sz w:val="22"/>
                <w:szCs w:val="22"/>
              </w:rPr>
            </w:r>
          </w:p>
          <w:p>
            <w:pPr>
              <w:spacing w:line="240" w:lineRule="auto"/>
              <w:ind w:firstLine="0"/>
              <w:outlineLvl w:val="1"/>
              <w:rPr>
                <w:sz w:val="22"/>
                <w:szCs w:val="22"/>
              </w:rPr>
            </w:pPr>
            <w:r>
              <w:rPr>
                <w:sz w:val="22"/>
                <w:szCs w:val="22"/>
              </w:rPr>
              <w:t xml:space="preserve">- по территории г. Ханты-Мансийска в 1-м случае</w:t>
            </w:r>
            <w:r>
              <w:rPr>
                <w:sz w:val="22"/>
                <w:szCs w:val="22"/>
              </w:rPr>
              <w:br/>
              <w:t xml:space="preserve">по предварительным результатам ХТИ были выявлены</w:t>
            </w:r>
            <w:r>
              <w:rPr>
                <w:sz w:val="22"/>
                <w:szCs w:val="22"/>
              </w:rPr>
              <w:br/>
              <w:t xml:space="preserve">в биологических средах барбитураты – 1 случай (ж, СОШ). На подтверждающих ХТИ получен положительный результат на барбитураты. Проведена профилактическая беседа. Показаний для медицинского наблюдения не выявлено.</w:t>
            </w:r>
            <w:r>
              <w:rPr>
                <w:sz w:val="22"/>
                <w:szCs w:val="22"/>
              </w:rPr>
            </w:r>
          </w:p>
          <w:p>
            <w:pPr>
              <w:tabs>
                <w:tab w:val="left" w:pos="559" w:leader="none"/>
              </w:tabs>
              <w:spacing w:line="240" w:lineRule="auto"/>
              <w:ind w:firstLine="0"/>
              <w:outlineLvl w:val="1"/>
              <w:rPr>
                <w:sz w:val="22"/>
                <w:szCs w:val="22"/>
                <w:highlight w:val="yellow"/>
              </w:rPr>
            </w:pPr>
            <w:r>
              <w:rPr>
                <w:sz w:val="22"/>
                <w:szCs w:val="22"/>
              </w:rPr>
              <w:t xml:space="preserve">На этапе медицинского осмотра с обучающимися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r>
              <w:rPr>
                <w:sz w:val="22"/>
                <w:szCs w:val="22"/>
                <w:highlight w:val="yellow"/>
              </w:rPr>
            </w:r>
          </w:p>
        </w:tc>
      </w:tr>
      <w:tr>
        <w:trPr/>
        <w:tc>
          <w:tcPr>
            <w:tcW w:w="581" w:type="dxa"/>
            <w:noWrap w:val="false"/>
            <w:textDirection w:val="lrTb"/>
          </w:tcPr>
          <w:p>
            <w:pPr>
              <w:spacing w:line="240" w:lineRule="auto"/>
              <w:ind w:firstLine="0"/>
              <w:jc w:val="center"/>
              <w:outlineLvl w:val="1"/>
              <w:rPr>
                <w:sz w:val="22"/>
                <w:szCs w:val="22"/>
                <w:highlight w:val="yellow"/>
              </w:rPr>
            </w:pPr>
            <w:r>
              <w:rPr>
                <w:sz w:val="22"/>
                <w:szCs w:val="22"/>
              </w:rPr>
              <w:t xml:space="preserve">3</w:t>
            </w:r>
            <w:r>
              <w:rPr>
                <w:sz w:val="22"/>
                <w:szCs w:val="22"/>
                <w:highlight w:val="yellow"/>
              </w:rPr>
            </w:r>
          </w:p>
        </w:tc>
        <w:tc>
          <w:tcPr>
            <w:tcW w:w="2788" w:type="dxa"/>
            <w:noWrap w:val="false"/>
            <w:textDirection w:val="lrTb"/>
          </w:tcPr>
          <w:p>
            <w:pPr>
              <w:pStyle w:val="1612"/>
              <w:ind w:firstLine="0"/>
              <w:rPr>
                <w:rFonts w:ascii="Times New Roman" w:hAnsi="Times New Roman" w:cs="Times New Roman"/>
                <w:sz w:val="22"/>
                <w:szCs w:val="22"/>
                <w:highlight w:val="yellow"/>
              </w:rPr>
            </w:pPr>
            <w:r>
              <w:rPr>
                <w:rFonts w:ascii="Times New Roman" w:hAnsi="Times New Roman" w:cs="Times New Roman"/>
                <w:sz w:val="22"/>
                <w:szCs w:val="22"/>
              </w:rPr>
              <w:t xml:space="preserve">Развитие системы медицинской профилактики неинфекционных заболеваний и ф</w:t>
            </w:r>
            <w:r>
              <w:rPr>
                <w:rFonts w:ascii="Times New Roman" w:hAnsi="Times New Roman" w:cs="Times New Roman"/>
                <w:sz w:val="22"/>
                <w:szCs w:val="22"/>
              </w:rPr>
              <w:t xml:space="preserve">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профилактические мероприятия с участием лиц, эпизодически употребляющих ПАВ</w:t>
            </w:r>
            <w:r>
              <w:rPr>
                <w:rFonts w:ascii="Times New Roman" w:hAnsi="Times New Roman" w:cs="Times New Roman"/>
                <w:sz w:val="22"/>
                <w:szCs w:val="22"/>
                <w:highlight w:val="yellow"/>
              </w:rPr>
            </w:r>
          </w:p>
        </w:tc>
        <w:tc>
          <w:tcPr>
            <w:tcW w:w="6201" w:type="dxa"/>
            <w:noWrap w:val="false"/>
            <w:textDirection w:val="lrTb"/>
          </w:tcPr>
          <w:p>
            <w:pPr>
              <w:spacing w:line="240" w:lineRule="auto"/>
              <w:ind w:firstLine="0"/>
              <w:rPr>
                <w:sz w:val="22"/>
                <w:szCs w:val="22"/>
              </w:rPr>
            </w:pPr>
            <w:r>
              <w:rPr>
                <w:sz w:val="22"/>
                <w:szCs w:val="22"/>
              </w:rPr>
              <w:t xml:space="preserve">Для реализации мероприятий по формированию здорового образа жизни на территории автономный округа сформирована система медицинской профилактики, включающая: бюджетное </w:t>
            </w:r>
            <w:r>
              <w:rPr>
                <w:sz w:val="22"/>
                <w:szCs w:val="22"/>
              </w:rPr>
              <w:t xml:space="preserve">учреждение  ХМАО</w:t>
            </w:r>
            <w:r>
              <w:rPr>
                <w:sz w:val="22"/>
                <w:szCs w:val="22"/>
              </w:rPr>
              <w:t xml:space="preserve">-Югры «Центр общественного здоровья и медицинской профилактики» (далее – Центр общественного здоровья и медицинской профилактики)с 3 филиалами в горо</w:t>
            </w:r>
            <w:r>
              <w:rPr>
                <w:sz w:val="22"/>
                <w:szCs w:val="22"/>
              </w:rPr>
              <w:t xml:space="preserve">дах: Сургут, Нижневартовск и Нефтеюганск, 6 центров здоровья (в том числе 3 центра здоровья для детского населения). Кроме того, в медицинских организациях функционирует 19 отделений и 33 кабинета медицинской профилактики, на базе 36 медицинских организаци</w:t>
            </w:r>
            <w:r>
              <w:rPr>
                <w:sz w:val="22"/>
                <w:szCs w:val="22"/>
              </w:rPr>
              <w:t xml:space="preserve">й созданы и функционируют кабинеты медицинской помощи при отказе от курения. Ведется активная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w:t>
            </w:r>
            <w:r>
              <w:rPr>
                <w:sz w:val="22"/>
                <w:szCs w:val="22"/>
              </w:rPr>
              <w:t xml:space="preserve"> список спикеров по темам. Неотъемлемой частью является мониторинг публичного пространства. Согласно мониторингу информационного сопровождения деятельности системы здравоохранения автономного округа, в 2025 году наиболее популярными направлениями являются:</w:t>
            </w:r>
            <w:r>
              <w:rPr>
                <w:sz w:val="22"/>
                <w:szCs w:val="22"/>
              </w:rPr>
            </w:r>
          </w:p>
          <w:p>
            <w:pPr>
              <w:spacing w:line="240" w:lineRule="auto"/>
              <w:ind w:firstLine="0"/>
              <w:rPr>
                <w:sz w:val="22"/>
                <w:szCs w:val="22"/>
              </w:rPr>
            </w:pPr>
            <w:r>
              <w:rPr>
                <w:sz w:val="22"/>
                <w:szCs w:val="22"/>
              </w:rPr>
              <w:t xml:space="preserve">На тему «Медицинская профилактика неинфекционных заболеваний и формирование здорового образа жизни, в том числе у детей» размещено 10 761 информационный повод (2024 – 12 982);</w:t>
            </w:r>
            <w:r>
              <w:rPr>
                <w:sz w:val="22"/>
                <w:szCs w:val="22"/>
              </w:rPr>
            </w:r>
          </w:p>
          <w:p>
            <w:pPr>
              <w:spacing w:line="240" w:lineRule="auto"/>
              <w:ind w:firstLine="0"/>
              <w:rPr>
                <w:sz w:val="22"/>
                <w:szCs w:val="22"/>
              </w:rPr>
            </w:pPr>
            <w:r>
              <w:rPr>
                <w:sz w:val="22"/>
                <w:szCs w:val="22"/>
              </w:rPr>
              <w:t xml:space="preserve">На тему «Профилактика развития зависимостей, включая сокращение потребления табака, алкоголя, наркотических </w:t>
            </w:r>
            <w:r>
              <w:rPr>
                <w:sz w:val="22"/>
                <w:szCs w:val="22"/>
              </w:rPr>
              <w:t xml:space="preserve">средств и психоактивных веществ, в том числе у детей» размещено 2 355 информационных повода (2024 – 2 636).</w:t>
            </w:r>
            <w:r>
              <w:rPr>
                <w:sz w:val="22"/>
                <w:szCs w:val="22"/>
              </w:rPr>
            </w:r>
          </w:p>
          <w:p>
            <w:pPr>
              <w:spacing w:line="240" w:lineRule="auto"/>
              <w:ind w:firstLine="0"/>
              <w:rPr>
                <w:sz w:val="22"/>
                <w:szCs w:val="22"/>
              </w:rPr>
            </w:pPr>
            <w:r>
              <w:rPr>
                <w:sz w:val="22"/>
                <w:szCs w:val="22"/>
              </w:rPr>
              <w:t xml:space="preserve">Среди основных площадок по распространению инф</w:t>
            </w:r>
            <w:r>
              <w:rPr>
                <w:sz w:val="22"/>
                <w:szCs w:val="22"/>
              </w:rPr>
              <w:t xml:space="preserve">ормации выступают сайты и сообщества в социальных сетях Департамента здравоохранения автономного округа и медицинских организаций. Всего региональную систему здравоохранения в социальных сетях и мессенджерах представляют 317 официальных аккаунтов, из них: </w:t>
            </w:r>
            <w:r>
              <w:rPr>
                <w:sz w:val="22"/>
                <w:szCs w:val="22"/>
              </w:rPr>
              <w:t xml:space="preserve">ВКонтакте</w:t>
            </w:r>
            <w:r>
              <w:rPr>
                <w:sz w:val="22"/>
                <w:szCs w:val="22"/>
              </w:rPr>
              <w:t xml:space="preserve"> – 92, Одноклассники – 92, </w:t>
            </w:r>
            <w:r>
              <w:rPr>
                <w:sz w:val="22"/>
                <w:szCs w:val="22"/>
              </w:rPr>
              <w:t xml:space="preserve">Телеграм</w:t>
            </w:r>
            <w:r>
              <w:rPr>
                <w:sz w:val="22"/>
                <w:szCs w:val="22"/>
              </w:rPr>
              <w:t xml:space="preserve"> – 46, МАХ – 87. В целях информирования населения используется популярная площадка в системе здравоохранения – группа «Послушайте, доктор. ХМАО-Югра» в социальной сети «</w:t>
            </w:r>
            <w:r>
              <w:rPr>
                <w:sz w:val="22"/>
                <w:szCs w:val="22"/>
              </w:rPr>
              <w:t xml:space="preserve">ВКонтакте</w:t>
            </w:r>
            <w:r>
              <w:rPr>
                <w:sz w:val="22"/>
                <w:szCs w:val="22"/>
              </w:rPr>
              <w:t xml:space="preserve">». Ежедневно группу посещают более тысячи человек. Еженедельно проводятся онлайн трансляции</w:t>
            </w:r>
            <w:r>
              <w:rPr>
                <w:sz w:val="22"/>
                <w:szCs w:val="22"/>
              </w:rPr>
              <w:br/>
              <w:t xml:space="preserve">со специалистами и экспертами отрасли. Для </w:t>
            </w:r>
            <w:r>
              <w:rPr>
                <w:sz w:val="22"/>
                <w:szCs w:val="22"/>
              </w:rPr>
              <w:t xml:space="preserve">госпабликов</w:t>
            </w:r>
            <w:r>
              <w:rPr>
                <w:sz w:val="22"/>
                <w:szCs w:val="22"/>
              </w:rPr>
              <w:t xml:space="preserve"> при участии главных </w:t>
            </w:r>
            <w:r>
              <w:rPr>
                <w:sz w:val="22"/>
                <w:szCs w:val="22"/>
              </w:rPr>
              <w:t xml:space="preserve">внештатных специалистов Депздрава Югры разрабатывается тематический контент в формате информационных карточек и видеороликов. Используется один из самых популярных в регионе информационных ресурсов – группа «Послушайте, доктор ХМАО–Югра» в социальной сети </w:t>
            </w:r>
            <w:r>
              <w:rPr>
                <w:sz w:val="22"/>
                <w:szCs w:val="22"/>
              </w:rPr>
              <w:t xml:space="preserve">ВКонтакте</w:t>
            </w:r>
            <w:r>
              <w:rPr>
                <w:sz w:val="22"/>
                <w:szCs w:val="22"/>
              </w:rPr>
              <w:t xml:space="preserve">. По состоянию на 14.01.2026 года в группе зарегистрировано 66 986 подписчиков. В рамках проекта еженедел</w:t>
            </w:r>
            <w:r>
              <w:rPr>
                <w:sz w:val="22"/>
                <w:szCs w:val="22"/>
              </w:rPr>
              <w:t xml:space="preserve">ьно проводятся прямые эфиры с ведущими специалистами системы здравоохранения Югры, граждане задают вопросы согласно теме эфира. В 2025 году проведено 50 прямых эфиров. В 2025 году совместно с окружной телерадиокомпанией «Югра» реализован проект по выпуску </w:t>
            </w:r>
            <w:r>
              <w:rPr>
                <w:sz w:val="22"/>
                <w:szCs w:val="22"/>
              </w:rPr>
              <w:t xml:space="preserve">серии видеоматериалов, направленных на профилактику различных заболеваний и поддержке здорового образа жизни. Всего в эфир вышло 40 сюжетов и программ, соответствующих тематическим профилактическим неделям Министерства здравоохранения Российской Федерации.</w:t>
            </w:r>
            <w:r>
              <w:rPr>
                <w:sz w:val="22"/>
                <w:szCs w:val="22"/>
              </w:rPr>
              <w:br/>
              <w:t xml:space="preserve">С целью формирования в обществе </w:t>
            </w:r>
            <w:r>
              <w:rPr>
                <w:sz w:val="22"/>
                <w:szCs w:val="22"/>
              </w:rPr>
              <w:t xml:space="preserve">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w:t>
            </w:r>
            <w:r>
              <w:rPr>
                <w:sz w:val="22"/>
                <w:szCs w:val="22"/>
              </w:rPr>
              <w:t xml:space="preserve">Семейный доктор». Территория вещания передачи включает автономный округ и город Тюмень. Количество потенциальных слушателей около 1,5 млн человек, возраст – 16+. Ежегодно в эфир выходит 100 передач. Темы передач отражают, запланированные Министерством здра</w:t>
            </w:r>
            <w:r>
              <w:rPr>
                <w:sz w:val="22"/>
                <w:szCs w:val="22"/>
              </w:rPr>
              <w:t xml:space="preserve">воохранения Российской Федерации тематические недели по профилактике заболеваний и пропаганде здорового образа жизни. Центр общественного здоровья и медицинской профилактики имеет постоянную рубрику в ведущем окружном периодическом издании «Новости Югры». </w:t>
            </w:r>
            <w:r>
              <w:rPr>
                <w:sz w:val="22"/>
                <w:szCs w:val="22"/>
              </w:rPr>
              <w:t xml:space="preserve">Ежегодно Центр общественного здоровья и медицинской профилактики издает и распространяет по муниципальным образованиям автономного округа полиграфическую продукцию профилактической направленности. Так в 2025 году напечатано 13 наименований полиграфической </w:t>
            </w:r>
            <w:r>
              <w:rPr>
                <w:sz w:val="22"/>
                <w:szCs w:val="22"/>
              </w:rPr>
              <w:t xml:space="preserve">продукции, общим тиражом 48 980 экз., (2024 год – 7 наименований, тираж 101 000 экз.), в том числе плакаты «</w:t>
            </w:r>
            <w:r>
              <w:rPr>
                <w:sz w:val="22"/>
                <w:szCs w:val="22"/>
              </w:rPr>
              <w:t xml:space="preserve">Безопасной  дозы</w:t>
            </w:r>
            <w:r>
              <w:rPr>
                <w:sz w:val="22"/>
                <w:szCs w:val="22"/>
              </w:rPr>
              <w:t xml:space="preserve"> алкоголя не существует!» и «Отличное время, чтобы бросить курить!». </w:t>
            </w:r>
            <w:r>
              <w:rPr>
                <w:sz w:val="22"/>
                <w:szCs w:val="22"/>
              </w:rPr>
            </w:r>
          </w:p>
          <w:p>
            <w:pPr>
              <w:spacing w:line="240" w:lineRule="auto"/>
              <w:ind w:firstLine="0"/>
              <w:rPr>
                <w:sz w:val="22"/>
                <w:szCs w:val="22"/>
              </w:rPr>
            </w:pPr>
            <w:r>
              <w:rPr>
                <w:sz w:val="22"/>
                <w:szCs w:val="22"/>
              </w:rPr>
              <w:t xml:space="preserve">Приказом Департамента здравоохранения ХМАО-Югры от 28.12.2024 № 1903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2025 году» утвержден п</w:t>
            </w:r>
            <w:r>
              <w:rPr>
                <w:sz w:val="22"/>
                <w:szCs w:val="22"/>
              </w:rPr>
              <w:t xml:space="preserve">лан проведения региональных тематических мероприятий по профилактике заболеваний и поддержке здорового образа жизни. Так с 27.01.2025 по 02.05.2025 прошла Неделя профилактики употребления наркотических средств, с 10.03.2025 по 16.03.2025 – Неделя по борьбе</w:t>
            </w:r>
            <w:r>
              <w:rPr>
                <w:sz w:val="22"/>
                <w:szCs w:val="22"/>
              </w:rPr>
              <w:t xml:space="preserve"> с заражением и распространение хронического вирусного гепатита С, с 23.06.2025 по 29.06.2025 – Неделя профилактики употребления наркотических средств (в честь Международного дня борьбы со злоупотреблением наркотическими средствами и их незаконным оборотом</w:t>
            </w:r>
            <w:r>
              <w:rPr>
                <w:sz w:val="22"/>
                <w:szCs w:val="22"/>
              </w:rPr>
              <w:br/>
              <w:t xml:space="preserve">26 июня). В рамках тематических недель организуются обучающие мероприятия для медицинских работников (научно-практические семинары, лекции), мероприятия для граждан (лекции, беседы, акции, и др.), разрабатывается тематическая </w:t>
            </w:r>
            <w:r>
              <w:rPr>
                <w:sz w:val="22"/>
                <w:szCs w:val="22"/>
              </w:rPr>
              <w:t xml:space="preserve">инфографика</w:t>
            </w:r>
            <w:r>
              <w:rPr>
                <w:sz w:val="22"/>
                <w:szCs w:val="22"/>
              </w:rPr>
              <w:t xml:space="preserve"> и размещается в медицинских,</w:t>
            </w:r>
            <w:r>
              <w:rPr>
                <w:sz w:val="22"/>
                <w:szCs w:val="22"/>
              </w:rPr>
              <w:t xml:space="preserve"> образовательных и социальных организациях, проводятся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 Кроме того, в рамках реализации пл</w:t>
            </w:r>
            <w:r>
              <w:rPr>
                <w:sz w:val="22"/>
                <w:szCs w:val="22"/>
              </w:rP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rPr>
                <w:sz w:val="22"/>
                <w:szCs w:val="22"/>
              </w:rPr>
            </w:r>
          </w:p>
          <w:p>
            <w:pPr>
              <w:spacing w:line="240" w:lineRule="auto"/>
              <w:ind w:firstLine="0"/>
              <w:rPr>
                <w:sz w:val="22"/>
                <w:szCs w:val="22"/>
              </w:rPr>
            </w:pPr>
            <w:r>
              <w:rPr>
                <w:sz w:val="22"/>
                <w:szCs w:val="22"/>
              </w:rPr>
              <w:t xml:space="preserve">В 2025</w:t>
            </w:r>
            <w:r>
              <w:rPr>
                <w:sz w:val="22"/>
                <w:szCs w:val="22"/>
              </w:rPr>
              <w:t xml:space="preserve">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 прочитана 2 037 лекций (2024 г. – 2 691), число слушателей 55 272 чел.</w:t>
            </w:r>
            <w:r>
              <w:rPr>
                <w:sz w:val="22"/>
                <w:szCs w:val="22"/>
              </w:rPr>
              <w:br/>
              <w:t xml:space="preserve">(2024 г. – 53 484 чел.), 104 913 бесед (2024 г. – 95 721), число участников 214 794 чел. (2024 г. – 210 344 чел.),</w:t>
            </w:r>
            <w:r>
              <w:rPr>
                <w:sz w:val="22"/>
                <w:szCs w:val="22"/>
              </w:rPr>
              <w:br/>
              <w:t xml:space="preserve">29 семинаров (2024 г. - </w:t>
            </w:r>
            <w:r>
              <w:rPr>
                <w:sz w:val="22"/>
                <w:szCs w:val="22"/>
              </w:rPr>
              <w:t xml:space="preserve">29), число участников 1 137 чел. (2024 г. – 675 чел.), 9 тренингов (2024 – 33), число участников 1 534 чел. (2024 г. – 1 155 чел.), 332 урока здоровья для дошкольников и школьников (2024 г. – 302), число участников 13 309 чел. (2024 г. – 10 483 чел.), 856 </w:t>
            </w:r>
            <w:r>
              <w:rPr>
                <w:sz w:val="22"/>
                <w:szCs w:val="22"/>
              </w:rPr>
              <w:t xml:space="preserve">кинодемонстраций</w:t>
            </w:r>
            <w:r>
              <w:rPr>
                <w:sz w:val="22"/>
                <w:szCs w:val="22"/>
              </w:rPr>
              <w:t xml:space="preserve"> (2024 г. – 1 086), число зрителей 28 871 чел. (2024 г. – 29 689 чел.), 452 массовых мероприятия (акции, круглые столы, </w:t>
            </w:r>
            <w:r>
              <w:rPr>
                <w:sz w:val="22"/>
                <w:szCs w:val="22"/>
              </w:rPr>
              <w:t xml:space="preserve">флешмобы</w:t>
            </w:r>
            <w:r>
              <w:rPr>
                <w:sz w:val="22"/>
                <w:szCs w:val="22"/>
              </w:rPr>
              <w:t xml:space="preserve">, конкурсы, викторины и др.) (2024 г. – 506) общее число участников 126 947 чел. (2024 г. – 99 736 чел.), размещено 2 737 средств наглядной агитации (2024 г. – 2 503), распространено 93 038 экз. тематической печатной продукции (2024 г. – 105 907).</w:t>
            </w:r>
            <w:r>
              <w:rPr>
                <w:sz w:val="22"/>
                <w:szCs w:val="22"/>
              </w:rPr>
            </w:r>
          </w:p>
          <w:p>
            <w:pPr>
              <w:spacing w:line="240" w:lineRule="auto"/>
              <w:ind w:firstLine="0"/>
              <w:rPr>
                <w:sz w:val="22"/>
                <w:szCs w:val="22"/>
              </w:rPr>
            </w:pPr>
            <w:r>
              <w:rPr>
                <w:sz w:val="22"/>
                <w:szCs w:val="22"/>
              </w:rPr>
              <w:t xml:space="preserve">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w:t>
            </w:r>
            <w:r>
              <w:rPr>
                <w:sz w:val="22"/>
                <w:szCs w:val="22"/>
              </w:rPr>
              <w:t xml:space="preserve">ональным отделением Всероссийского общественного движения «Волонтеры-медики». В сфере здравоохранения автономного округа в настоящее время трудятся 1 605 добровольцев, которые активно принимают участие в акциях и мероприятиях медицинского добровольчества. </w:t>
            </w:r>
            <w:r>
              <w:rPr>
                <w:sz w:val="22"/>
                <w:szCs w:val="22"/>
              </w:rPr>
            </w:r>
          </w:p>
          <w:p>
            <w:pPr>
              <w:spacing w:line="240" w:lineRule="auto"/>
              <w:ind w:firstLine="0"/>
              <w:rPr>
                <w:sz w:val="22"/>
                <w:szCs w:val="22"/>
                <w:highlight w:val="yellow"/>
              </w:rPr>
            </w:pPr>
            <w:r>
              <w:rPr>
                <w:sz w:val="22"/>
                <w:szCs w:val="22"/>
              </w:rPr>
              <w:t xml:space="preserve">В 2025 году при участии 2 529 волонтеров проведено 2 093 мероприятия, направленных на популяризацию здорового образа жизни и медицинского добровольчества, профилактику заболеваний, в которых приняли участие 62 860 </w:t>
            </w:r>
            <w:r>
              <w:rPr>
                <w:sz w:val="22"/>
                <w:szCs w:val="22"/>
              </w:rPr>
              <w:t xml:space="preserve">югорчан</w:t>
            </w:r>
            <w:r>
              <w:rPr>
                <w:sz w:val="22"/>
                <w:szCs w:val="22"/>
              </w:rPr>
              <w:t xml:space="preserve"> (2024 – 829 мероприятий, число участников 33 015 чел.).</w:t>
            </w:r>
            <w:r>
              <w:rPr>
                <w:sz w:val="22"/>
                <w:szCs w:val="22"/>
                <w:highlight w:val="yellow"/>
              </w:rPr>
            </w:r>
          </w:p>
        </w:tc>
      </w:tr>
      <w:tr>
        <w:trPr/>
        <w:tc>
          <w:tcPr>
            <w:tcW w:w="581" w:type="dxa"/>
            <w:noWrap w:val="false"/>
            <w:textDirection w:val="lrTb"/>
          </w:tcPr>
          <w:p>
            <w:pPr>
              <w:spacing w:line="240" w:lineRule="auto"/>
              <w:ind w:firstLine="0"/>
              <w:jc w:val="center"/>
              <w:outlineLvl w:val="1"/>
              <w:rPr>
                <w:sz w:val="22"/>
                <w:szCs w:val="22"/>
              </w:rPr>
            </w:pPr>
            <w:r>
              <w:rPr>
                <w:sz w:val="22"/>
                <w:szCs w:val="22"/>
              </w:rPr>
              <w:t xml:space="preserve">4</w:t>
            </w:r>
            <w:r>
              <w:rPr>
                <w:sz w:val="22"/>
                <w:szCs w:val="22"/>
              </w:rPr>
            </w:r>
          </w:p>
        </w:tc>
        <w:tc>
          <w:tcPr>
            <w:tcW w:w="2788"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Проведение информационной антинаркотической политики</w:t>
            </w:r>
            <w:r>
              <w:rPr>
                <w:rFonts w:ascii="Times New Roman" w:hAnsi="Times New Roman" w:cs="Times New Roman"/>
                <w:sz w:val="22"/>
                <w:szCs w:val="22"/>
              </w:rPr>
            </w:r>
          </w:p>
        </w:tc>
        <w:tc>
          <w:tcPr>
            <w:tcW w:w="6201" w:type="dxa"/>
            <w:noWrap w:val="false"/>
            <w:textDirection w:val="lrTb"/>
          </w:tcPr>
          <w:p>
            <w:pPr>
              <w:tabs>
                <w:tab w:val="left" w:pos="484" w:leader="none"/>
              </w:tabs>
              <w:spacing w:line="240" w:lineRule="auto"/>
              <w:ind w:firstLine="0"/>
              <w:outlineLvl w:val="1"/>
              <w:rPr>
                <w:sz w:val="22"/>
                <w:szCs w:val="22"/>
              </w:rPr>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всех видов зависимостей, в том числе </w:t>
            </w:r>
            <w:r>
              <w:rPr>
                <w:sz w:val="22"/>
                <w:szCs w:val="22"/>
              </w:rPr>
              <w:t xml:space="preserve">наркотической,  и</w:t>
            </w:r>
            <w:r>
              <w:rPr>
                <w:sz w:val="22"/>
                <w:szCs w:val="22"/>
              </w:rPr>
              <w:t xml:space="preserve">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w:t>
            </w:r>
            <w:r>
              <w:rPr>
                <w:sz w:val="22"/>
                <w:szCs w:val="22"/>
              </w:rPr>
              <w:t xml:space="preserve">пабликах</w:t>
            </w:r>
            <w:r>
              <w:rPr>
                <w:sz w:val="22"/>
                <w:szCs w:val="22"/>
              </w:rPr>
              <w:t xml:space="preserve"> в социальных сетях «</w:t>
            </w:r>
            <w:r>
              <w:rPr>
                <w:sz w:val="22"/>
                <w:szCs w:val="22"/>
              </w:rPr>
              <w:t xml:space="preserve">ВКонтакте</w:t>
            </w:r>
            <w:r>
              <w:rPr>
                <w:sz w:val="22"/>
                <w:szCs w:val="22"/>
              </w:rPr>
              <w:t xml:space="preserve">», «Одноклассники», в мессенджере «</w:t>
            </w:r>
            <w:r>
              <w:rPr>
                <w:sz w:val="22"/>
                <w:szCs w:val="22"/>
              </w:rPr>
              <w:t xml:space="preserve">Телеграм</w:t>
            </w:r>
            <w:r>
              <w:rPr>
                <w:sz w:val="22"/>
                <w:szCs w:val="22"/>
              </w:rPr>
              <w:t xml:space="preserve">».  </w:t>
            </w:r>
            <w:r>
              <w:rPr>
                <w:sz w:val="22"/>
                <w:szCs w:val="22"/>
              </w:rPr>
            </w:r>
          </w:p>
        </w:tc>
      </w:tr>
      <w:tr>
        <w:trPr/>
        <w:tc>
          <w:tcPr>
            <w:tcW w:w="581" w:type="dxa"/>
            <w:noWrap w:val="false"/>
            <w:textDirection w:val="lrTb"/>
          </w:tcPr>
          <w:p>
            <w:pPr>
              <w:spacing w:line="240" w:lineRule="auto"/>
              <w:ind w:firstLine="0"/>
              <w:jc w:val="center"/>
              <w:outlineLvl w:val="1"/>
              <w:rPr>
                <w:sz w:val="22"/>
                <w:szCs w:val="22"/>
              </w:rPr>
            </w:pPr>
            <w:r>
              <w:rPr>
                <w:sz w:val="22"/>
                <w:szCs w:val="22"/>
              </w:rPr>
              <w:t xml:space="preserve">5</w:t>
            </w:r>
            <w:r>
              <w:rPr>
                <w:sz w:val="22"/>
                <w:szCs w:val="22"/>
              </w:rPr>
            </w:r>
          </w:p>
        </w:tc>
        <w:tc>
          <w:tcPr>
            <w:tcW w:w="2788"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rPr>
                <w:rFonts w:ascii="Times New Roman" w:hAnsi="Times New Roman" w:cs="Times New Roman"/>
                <w:sz w:val="22"/>
                <w:szCs w:val="22"/>
              </w:rPr>
            </w:r>
          </w:p>
          <w:p>
            <w:pPr>
              <w:pStyle w:val="1612"/>
              <w:ind w:firstLine="0"/>
              <w:rPr>
                <w:rFonts w:ascii="Times New Roman" w:hAnsi="Times New Roman" w:cs="Times New Roman"/>
                <w:sz w:val="22"/>
                <w:szCs w:val="22"/>
              </w:rPr>
            </w:pPr>
            <w:r>
              <w:rPr>
                <w:rFonts w:ascii="Times New Roman" w:hAnsi="Times New Roman" w:cs="Times New Roman"/>
                <w:sz w:val="22"/>
                <w:szCs w:val="22"/>
              </w:rPr>
            </w:r>
            <w:r>
              <w:rPr>
                <w:rFonts w:ascii="Times New Roman" w:hAnsi="Times New Roman" w:cs="Times New Roman"/>
                <w:sz w:val="22"/>
                <w:szCs w:val="22"/>
              </w:rPr>
            </w:r>
          </w:p>
        </w:tc>
        <w:tc>
          <w:tcPr>
            <w:tcW w:w="6201" w:type="dxa"/>
            <w:noWrap w:val="false"/>
            <w:textDirection w:val="lrTb"/>
          </w:tcPr>
          <w:p>
            <w:pPr>
              <w:pStyle w:val="1646"/>
              <w:jc w:val="both"/>
              <w:rPr>
                <w:rFonts w:ascii="Times New Roman" w:hAnsi="Times New Roman" w:cs="Times New Roman"/>
              </w:rPr>
            </w:pPr>
            <w:r>
              <w:rPr>
                <w:rFonts w:ascii="Times New Roman" w:hAnsi="Times New Roman" w:cs="Times New Roman"/>
              </w:rPr>
              <w:t xml:space="preserve">В 2025 году в соответствии с государственной программой ХМАО-Югры «Развитие гражданского общества», постановлением Губернатора автономного округа от 31.10.2018 № 108 «О грантах Губернатора Ханты-Мансийского автоном</w:t>
            </w:r>
            <w:r>
              <w:rPr>
                <w:rFonts w:ascii="Times New Roman" w:hAnsi="Times New Roman" w:cs="Times New Roman"/>
              </w:rPr>
              <w:t xml:space="preserve">ного округа – Югры на развитие гражданского общества» проведено 4 конкурса на предоставление грантов Губернатора автономного округа, в рамках которых предусмотрены направления по развитию гражданско-патриотических и военно-патриотических качеств молодежи. </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Одним из ярчайших примеров 2025 года стал специальный конкурс грантов Губернатора, посвящённый 80-летию Победы в Великой Отечественной войне.</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Конкурс проведен в короткие сроки (1,5 месяца) с целью реализации основных запла</w:t>
            </w:r>
            <w:r>
              <w:rPr>
                <w:rFonts w:ascii="Times New Roman" w:hAnsi="Times New Roman" w:cs="Times New Roman"/>
              </w:rPr>
              <w:t xml:space="preserve">нированных мероприятий по проектам ко дню годовщины Победы в Великой Отечественной войне. За заявочную кампанию (2 недели) подано и допущено до экспертизы 130 проектов на сумму 165 миллионов рублей, поддержано 53 проекта на общую сумму более 51 млн рублей.</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27 мая 2025 года подведены итоги конкурса на предоставление грантов Губернатора на развитие гражданского общества физическим лицам. Всего на конкурс поступила 501 заявка, из них по направлению патриоти</w:t>
            </w:r>
            <w:r>
              <w:rPr>
                <w:rFonts w:ascii="Times New Roman" w:hAnsi="Times New Roman" w:cs="Times New Roman"/>
              </w:rPr>
              <w:t xml:space="preserve">ческого и духовно-нравственного воспитания граждан поддержано 17 проектов, по направлению «80-летие Победы в Великой Отечественной войне» – 11 проектов, по направлению «Мы вместе – поддержка мобилизованных граждан и добровольцев, участвующих в специальной </w:t>
            </w:r>
            <w:r>
              <w:rPr>
                <w:rFonts w:ascii="Times New Roman" w:hAnsi="Times New Roman" w:cs="Times New Roman"/>
              </w:rPr>
              <w:t xml:space="preserve">военной операции, а также их семьям» поддержано 18 проектов.</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22.08. 2025 подведены итоги конкур</w:t>
            </w:r>
            <w:r>
              <w:rPr>
                <w:rFonts w:ascii="Times New Roman" w:hAnsi="Times New Roman" w:cs="Times New Roman"/>
              </w:rPr>
              <w:t xml:space="preserve">са на предоставление грантов Губернатора на развитие гражданского общества СОНКО. Всего на конкурс поступило 208 заявок, в направлении «Сохранение исторической памяти» поддержано 6 проектов, направленных на духовно-нравственное и патриотическое воспитание.</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14.11.2025 подведены итоги конкурса на предоставление грантов Губернатора на реализацию проектов в области культу</w:t>
            </w:r>
            <w:r>
              <w:rPr>
                <w:rFonts w:ascii="Times New Roman" w:hAnsi="Times New Roman" w:cs="Times New Roman"/>
              </w:rPr>
              <w:t xml:space="preserve">ры, искусства и креативных (творческих) индустрий. Всего на конкурс поступило 149 заявок, поддержано 38 проектов по направлениям «Единство с судьбой России», «На страже Отечества» и 6 проектов, посвященных празднованию Победы в Великой Отечественной войне.</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сравнении с 2024 годом количество проектов направленных </w:t>
            </w:r>
            <w:r>
              <w:rPr>
                <w:rFonts w:ascii="Times New Roman" w:hAnsi="Times New Roman" w:cs="Times New Roman"/>
              </w:rPr>
              <w:br/>
              <w:t xml:space="preserve">на развитие гражданско-патриотических, военно-патриотических качеств значительно увеличено, в связи с проведением специально конкурса к 80-летию Победы.</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соответствии с пунктом 6 распоряжения Президента Российской Федерации от 01.07.2024 № 199-рп «О создании Национального центра «Россия», в целях сохранения наследия Международной выставки – форума «Россия» и демо</w:t>
            </w:r>
            <w:r>
              <w:rPr>
                <w:rFonts w:ascii="Times New Roman" w:hAnsi="Times New Roman" w:cs="Times New Roman"/>
              </w:rPr>
              <w:t xml:space="preserve">нстрации достижений Российской Федерации в различных отраслях экономики в автономном округе, а также к 95-летию со дня образования автономного округа, 16.12.2025 состоялась торжественная церемония открытия Национального центра «Россия» в автономном округе.</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Национальном центре «Россия» подготовлено 6 площадок для проведения культурно-просветительских и образовательных мероприятий. За период с 16 по 30 декабря 2025 года 3000 че</w:t>
            </w:r>
            <w:r>
              <w:rPr>
                <w:rFonts w:ascii="Times New Roman" w:hAnsi="Times New Roman" w:cs="Times New Roman"/>
              </w:rPr>
              <w:t xml:space="preserve">ловек посетили выставку и мероприятия филиала. В социальных сетях размещено 1500 публикаций и упоминаний о деятельности Национального центра «Россия» в автономном округе. На площадках проведено 10 культурно-просветительских и 2 образовательных мероприятия.</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целях реализации Указа Президента Российской Федерации от 16.01.2025 № 28 «О проведении в Российской Федерации Года защитника Отечества», согласно Плану мероприятий, посвященных проведению в автономном округе Года з</w:t>
            </w:r>
            <w:r>
              <w:rPr>
                <w:rFonts w:ascii="Times New Roman" w:hAnsi="Times New Roman" w:cs="Times New Roman"/>
              </w:rPr>
              <w:t xml:space="preserve">ащитника Отечества, утвержденного распоряжением Правительства автономного округа от 26.02.2025 № 66-рп «О Плане мероприятий, посвященных проведению в Ханты-Мансийском автономном округе – Югре Года защитника Отечества в 2025 году», проведено 92 мероприятия.</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Во исполнение распоряжения Правительства автономного округа от 26.022025 № 65-рп «О Плане мероприятий по п</w:t>
            </w:r>
            <w:r>
              <w:rPr>
                <w:rFonts w:ascii="Times New Roman" w:hAnsi="Times New Roman" w:cs="Times New Roman"/>
              </w:rPr>
              <w:t xml:space="preserve">роведению Года исторического наследия в Ханты-Мансийском автономном округе – Югре в 2025 году» в автономном округе состоялось 91 мероприятие, направленное на сохранение исторической памяти о подвигах героев автономного округа через проведение мероприятий, </w:t>
            </w:r>
            <w:r>
              <w:rPr>
                <w:rFonts w:ascii="Times New Roman" w:hAnsi="Times New Roman" w:cs="Times New Roman"/>
              </w:rPr>
              <w:t xml:space="preserve">затрагивающих славную историю Отечества и Югорского края (охват 208 165 жителей и гостей Югры).</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соответствии с Указом Президента Российской Федерации от 07.05.2024 № 309 по достижению национальных целей развития Российск</w:t>
            </w:r>
            <w:r>
              <w:rPr>
                <w:rFonts w:ascii="Times New Roman" w:hAnsi="Times New Roman" w:cs="Times New Roman"/>
              </w:rPr>
              <w:t xml:space="preserve">ой Федерации на период до 2030 года и на перспективу до 2036 года обеспечена реализация показателей регионального проекта «Мы вместе» (Воспитание гармонично развитой личности) на территории автономного округа (далее – проект). Выполнены показатели проекта:</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Доля молодых людей, участвующих в проектах и программах, направленных на патриотическое воспитание: 92,96%;</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Доля молодых семей, в том</w:t>
            </w:r>
            <w:r>
              <w:rPr>
                <w:rFonts w:ascii="Times New Roman" w:hAnsi="Times New Roman" w:cs="Times New Roman"/>
              </w:rPr>
              <w:t xml:space="preserve"> числе молодых семей, имеющих детей, участвующих в мероприятиях по продвижению традиционных духовно-нравственных ценностей, в том числе в проекты и программы, направленные на патриотическое воспитание, в добровольческую и общественную деятельность: 40,88%;</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Доля молодых людей, вовлеченных в добровольческую и общественную деятельность: 58,40%.</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рамках проекта проведено 28 общественных мероприятий (акций), приуроченных к государственным праздникам и памятным датам России, а также 17 мероприятий, направленных н</w:t>
            </w:r>
            <w:r>
              <w:rPr>
                <w:rFonts w:ascii="Times New Roman" w:hAnsi="Times New Roman" w:cs="Times New Roman"/>
              </w:rPr>
              <w:t xml:space="preserve">а патриотическое воспитание молодежи, в том числе на увековечение памяти защитников Отечества, сохранение и укрепление традиционных российских духовно-нравственных ценностей, участниками которых стали более 445 000 молодых людей в возрасте от 14 до 35 лет.</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Всего в 2025 году реализовано 46 общественных (сетевых) проектов, направленных на укрепление духовно-нравст</w:t>
            </w:r>
            <w:r>
              <w:rPr>
                <w:rFonts w:ascii="Times New Roman" w:hAnsi="Times New Roman" w:cs="Times New Roman"/>
              </w:rPr>
              <w:t xml:space="preserve">венного воспитания, формирование гражданско-патриотической позиции молодежи, сохранение исторической памяти о событиях и участниках Великой Отечественной войны, специальной военной операции, приуроченных к памятным датам и государственным праздникам Россий</w:t>
            </w:r>
            <w:r>
              <w:rPr>
                <w:rFonts w:ascii="Times New Roman" w:hAnsi="Times New Roman" w:cs="Times New Roman"/>
              </w:rPr>
              <w:t xml:space="preserve">ской Федерации в соответствии с рекомендациями федеральных ведомств и общественных организаций военно-патриотической направленности с охватом более 1,4 млн человек (2024 – 51 проект, охват – 1,6 млн человек, 2023 год – 44 проекта, охват – 1,2 млн человек).</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Проекты направлены на духовно-нравственное воспитание, формирование гражданско-патриотической позиции молодежи, сохранение исторической памяти о событиях и участниках Великой Отечественной войны и специальн</w:t>
            </w:r>
            <w:r>
              <w:rPr>
                <w:rFonts w:ascii="Times New Roman" w:hAnsi="Times New Roman" w:cs="Times New Roman"/>
              </w:rPr>
              <w:t xml:space="preserve">ой военной операции (далее – СВО). Мероприятия приурочены к памятным датам и государственным праздникам Российской Федерации и проводятся в соответствии с рекомендациями федеральных ведомств и общественных организаций военно-патриотической направленности. </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Ключевыми проектами стали мероприятия:</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а) к Году защитника Отечества в Югре в соответствии с распоряжением Правительства автономного округа от 26 февраля 2025 года № 66-рп, направленные на патриотическое и духовно-нравственное воспитание, сохранение </w:t>
            </w:r>
            <w:r>
              <w:rPr>
                <w:rFonts w:ascii="Times New Roman" w:hAnsi="Times New Roman" w:cs="Times New Roman"/>
              </w:rPr>
              <w:t xml:space="preserve">исторической памяти, повышение престижа военной службы и уровня гражданской ответственности (охват: 800 тыс. жителей и гостей Югры);</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б) к Году исторического наследия в Югре в соответствии с распоряжением Правительства автоно</w:t>
            </w:r>
            <w:r>
              <w:rPr>
                <w:rFonts w:ascii="Times New Roman" w:hAnsi="Times New Roman" w:cs="Times New Roman"/>
              </w:rPr>
              <w:t xml:space="preserve">много округа от 26 февраля 2025 года № 65-рп, направленные на сохранение исторической памяти о подвигах героев автономного округа через проведение мероприятий, затрагивающих славную историю Отечества и Югорского края (охват: 208 165 жителей и гостей Югры);</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в) в честь празднования 80-й годовщины Победы в Великой Отечественной войне 1941-1945 годов в ХМАО-Югре (охват участников: 845 183 человека);</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г) мониторинг состояния 303 памятников, мемориалов и иных памятных мест автономного округа, посвященных Великой Отечественной войне 1941-1945 годов при участии 258 волонтеров.</w:t>
            </w:r>
            <w:r>
              <w:rPr>
                <w:rFonts w:ascii="Times New Roman" w:hAnsi="Times New Roman" w:cs="Times New Roman"/>
              </w:rPr>
            </w:r>
          </w:p>
          <w:p>
            <w:pPr>
              <w:pStyle w:val="1646"/>
              <w:jc w:val="both"/>
              <w:rPr>
                <w:rFonts w:ascii="Times New Roman" w:hAnsi="Times New Roman" w:cs="Times New Roman"/>
              </w:rPr>
            </w:pPr>
            <w:r>
              <w:rPr>
                <w:rFonts w:ascii="Times New Roman" w:hAnsi="Times New Roman" w:cs="Times New Roman"/>
              </w:rPr>
              <w:t xml:space="preserve">Проведен региональный этап Всеро</w:t>
            </w:r>
            <w:r>
              <w:rPr>
                <w:rFonts w:ascii="Times New Roman" w:hAnsi="Times New Roman" w:cs="Times New Roman"/>
              </w:rPr>
              <w:t xml:space="preserve">ссийской военно-патриотической игры «Зарница 2.0». Охват участников составил 920 человек. В рамках проекта организовано участие: представителей поисковых отрядов из автономного округа в мероприятиях Всероссийской акции «Вахта памяти» (охват 534 участника);</w:t>
            </w:r>
            <w:r>
              <w:rPr>
                <w:rFonts w:ascii="Times New Roman" w:hAnsi="Times New Roman" w:cs="Times New Roman"/>
              </w:rPr>
            </w:r>
          </w:p>
          <w:p>
            <w:pPr>
              <w:tabs>
                <w:tab w:val="left" w:pos="484" w:leader="none"/>
              </w:tabs>
              <w:spacing w:line="240" w:lineRule="auto"/>
              <w:ind w:firstLine="0"/>
              <w:outlineLvl w:val="1"/>
              <w:rPr>
                <w:sz w:val="22"/>
                <w:szCs w:val="22"/>
              </w:rPr>
            </w:pPr>
            <w:r>
              <w:rPr>
                <w:sz w:val="22"/>
                <w:szCs w:val="22"/>
              </w:rPr>
              <w:t xml:space="preserve">146 представителей (участников) Общероссийского общественно-государственного движения детей и молодежи «Движение первых» (далее – РДДМ) в международных, всероссийских, межрегиональных и окружных форумах</w:t>
            </w:r>
            <w:r>
              <w:rPr>
                <w:sz w:val="22"/>
                <w:szCs w:val="22"/>
              </w:rPr>
            </w:r>
          </w:p>
        </w:tc>
      </w:tr>
      <w:tr>
        <w:trPr/>
        <w:tc>
          <w:tcPr>
            <w:tcW w:w="581" w:type="dxa"/>
            <w:noWrap w:val="false"/>
            <w:textDirection w:val="lrTb"/>
          </w:tcPr>
          <w:p>
            <w:pPr>
              <w:spacing w:line="240" w:lineRule="auto"/>
              <w:ind w:firstLine="0"/>
              <w:jc w:val="center"/>
              <w:outlineLvl w:val="1"/>
              <w:rPr>
                <w:sz w:val="22"/>
                <w:szCs w:val="22"/>
              </w:rPr>
            </w:pPr>
            <w:r>
              <w:rPr>
                <w:sz w:val="22"/>
                <w:szCs w:val="22"/>
              </w:rPr>
              <w:t xml:space="preserve">6</w:t>
            </w:r>
            <w:r>
              <w:rPr>
                <w:sz w:val="22"/>
                <w:szCs w:val="22"/>
              </w:rPr>
            </w:r>
          </w:p>
        </w:tc>
        <w:tc>
          <w:tcPr>
            <w:tcW w:w="2788"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rPr>
                <w:rFonts w:ascii="Times New Roman" w:hAnsi="Times New Roman" w:cs="Times New Roman"/>
                <w:sz w:val="22"/>
                <w:szCs w:val="22"/>
              </w:rPr>
            </w:r>
          </w:p>
        </w:tc>
        <w:tc>
          <w:tcPr>
            <w:tcW w:w="6201" w:type="dxa"/>
            <w:noWrap w:val="false"/>
            <w:textDirection w:val="lrTb"/>
          </w:tcPr>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Департамент молодежной политики, гражданских инициатив </w:t>
            </w:r>
            <w:r>
              <w:rPr>
                <w:rFonts w:ascii="Times New Roman" w:hAnsi="Times New Roman" w:cs="Times New Roman"/>
                <w:sz w:val="22"/>
                <w:szCs w:val="22"/>
              </w:rPr>
              <w:br/>
              <w:t xml:space="preserve">и внешних связей автономного округа совместно с органами </w:t>
            </w:r>
            <w:r>
              <w:rPr>
                <w:rFonts w:ascii="Times New Roman" w:hAnsi="Times New Roman" w:cs="Times New Roman"/>
                <w:sz w:val="22"/>
                <w:szCs w:val="22"/>
              </w:rPr>
              <w:br/>
              <w:t xml:space="preserve">и учреждениями сферы молодежной политики муниципальных образований автономного округа, а также при взаимодействии </w:t>
            </w:r>
            <w:r>
              <w:rPr>
                <w:rFonts w:ascii="Times New Roman" w:hAnsi="Times New Roman" w:cs="Times New Roman"/>
                <w:sz w:val="22"/>
                <w:szCs w:val="22"/>
              </w:rPr>
              <w:br/>
              <w:t xml:space="preserve">с социально ориентированными некоммерческими организациями и молодежными объединениями, включая региональное отделение</w:t>
            </w:r>
            <w:r>
              <w:rPr>
                <w:rFonts w:ascii="Times New Roman" w:hAnsi="Times New Roman" w:cs="Times New Roman"/>
                <w:bCs/>
                <w:sz w:val="22"/>
                <w:szCs w:val="22"/>
              </w:rPr>
              <w:t xml:space="preserve">   РДДМ</w:t>
            </w:r>
            <w:r>
              <w:rPr>
                <w:rFonts w:ascii="Times New Roman" w:hAnsi="Times New Roman" w:cs="Times New Roman"/>
                <w:sz w:val="22"/>
                <w:szCs w:val="22"/>
              </w:rPr>
              <w:t xml:space="preserve">, организует комплекс</w:t>
            </w:r>
            <w:r>
              <w:rPr>
                <w:rFonts w:ascii="Times New Roman" w:hAnsi="Times New Roman" w:cs="Times New Roman"/>
                <w:sz w:val="22"/>
                <w:szCs w:val="22"/>
              </w:rPr>
              <w:t xml:space="preserve">ную работу, направленную на профилактику незаконного потребления наркотических средств и психотропных веществ, правовое просвещение граждан, формирование навыков здорового образа жизни и создание благоприятных условий для самореализации детей и молодежи.  </w:t>
            </w:r>
            <w:r>
              <w:rPr>
                <w:rFonts w:ascii="Times New Roman" w:hAnsi="Times New Roman" w:cs="Times New Roman"/>
                <w:sz w:val="22"/>
                <w:szCs w:val="22"/>
              </w:rPr>
            </w:r>
          </w:p>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Основными исполнителями вышеуказанных профилактических мероприятий являются: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автономная некоммерческая организация «Молодежный центр Югры»;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муниципальные учреждения по работе с молодежью </w:t>
            </w:r>
            <w:r>
              <w:rPr>
                <w:rFonts w:ascii="Times New Roman" w:hAnsi="Times New Roman" w:cs="Times New Roman"/>
                <w:sz w:val="22"/>
                <w:szCs w:val="22"/>
              </w:rPr>
              <w:br/>
              <w:t xml:space="preserve">(26 учреждений в 22 муниципальных образованиях);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региональное и 22 местных отделения Движения Первых;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некоммерческие организации.  </w:t>
            </w:r>
            <w:r>
              <w:rPr>
                <w:rFonts w:ascii="Times New Roman" w:hAnsi="Times New Roman" w:cs="Times New Roman"/>
                <w:sz w:val="22"/>
                <w:szCs w:val="22"/>
              </w:rPr>
            </w:r>
          </w:p>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В учреждениях молодежной политики организована работа по следующим направлениям: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проведению на системной основе мероприятий, </w:t>
            </w:r>
            <w:r>
              <w:rPr>
                <w:rFonts w:ascii="Times New Roman" w:hAnsi="Times New Roman" w:cs="Times New Roman"/>
                <w:sz w:val="22"/>
                <w:szCs w:val="22"/>
              </w:rPr>
              <w:t xml:space="preserve">направленных на пропаганду здорового образа жизни, с участием некоммерческих общественных организаций и молодежных объединений;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содействию в трудоустройстве несовершеннолетних;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вовлечению несовершеннолетних в молодежные движения, в том числе в добровольческую (волонтерскую) деятельность;  </w:t>
            </w:r>
            <w:r>
              <w:rPr>
                <w:rFonts w:ascii="Times New Roman" w:hAnsi="Times New Roman" w:cs="Times New Roman"/>
                <w:sz w:val="22"/>
                <w:szCs w:val="22"/>
              </w:rPr>
            </w:r>
          </w:p>
          <w:p>
            <w:pPr>
              <w:pStyle w:val="1612"/>
              <w:numPr>
                <w:numId w:val="13"/>
                <w:ilvl w:val="0"/>
              </w:numPr>
              <w:pBdr>
                <w:top w:val="none" w:color="000000" w:sz="4" w:space="0"/>
                <w:left w:val="none" w:color="000000" w:sz="4" w:space="0"/>
                <w:bottom w:val="none" w:color="000000" w:sz="4" w:space="0"/>
                <w:right w:val="none" w:color="000000" w:sz="4" w:space="0"/>
              </w:pBdr>
              <w:spacing w:line="242"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размещению на доступных информационных площадках и в средствах массовой информации материалов просветительского характера по вопросам формирования устойчивого правосознания и неприятия противоправного поведения.  </w:t>
            </w:r>
            <w:r>
              <w:rPr>
                <w:rFonts w:ascii="Times New Roman" w:hAnsi="Times New Roman" w:cs="Times New Roman"/>
                <w:sz w:val="22"/>
                <w:szCs w:val="22"/>
              </w:rPr>
            </w:r>
          </w:p>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С целью эффективного межведомственного взаимодействия и вовлечения в деятельность РДДМ несовершеннолетних, в отношении которых органами и учреждениями системы профилактики безнадзорности </w:t>
            </w:r>
            <w:r>
              <w:rPr>
                <w:rFonts w:ascii="Times New Roman" w:hAnsi="Times New Roman" w:cs="Times New Roman"/>
                <w:sz w:val="22"/>
                <w:szCs w:val="22"/>
              </w:rPr>
              <w:t xml:space="preserve">и правонарушений проводится индивидуальная профилактическая работа, в состав Комиссии по делам несовершеннолетних и защите их прав при Правительстве автономного округа включена С.А. Омельченко, председатель Совета регионального отделения Движения первых.  </w:t>
            </w:r>
            <w:r>
              <w:rPr>
                <w:rFonts w:ascii="Times New Roman" w:hAnsi="Times New Roman" w:cs="Times New Roman"/>
                <w:sz w:val="22"/>
                <w:szCs w:val="22"/>
              </w:rPr>
            </w:r>
          </w:p>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В деятельность РДДМ во</w:t>
            </w:r>
            <w:r>
              <w:rPr>
                <w:rFonts w:ascii="Times New Roman" w:hAnsi="Times New Roman" w:cs="Times New Roman"/>
                <w:sz w:val="22"/>
                <w:szCs w:val="22"/>
              </w:rPr>
              <w:t xml:space="preserve">влечены 70% обучающихся, находящихся в трудной жизненной ситуации, а также обучающихся, в отношении которых органами и учреждениями системы профилактики безнадзорности и правонарушений несовершеннолетних проводится индивидуальная профилактическая работа.  </w:t>
            </w:r>
            <w:r>
              <w:rPr>
                <w:rFonts w:ascii="Times New Roman" w:hAnsi="Times New Roman" w:cs="Times New Roman"/>
                <w:sz w:val="22"/>
                <w:szCs w:val="22"/>
              </w:rPr>
            </w:r>
          </w:p>
          <w:p>
            <w:pPr>
              <w:pStyle w:val="1612"/>
              <w:pBdr>
                <w:top w:val="none" w:color="000000" w:sz="4" w:space="0"/>
                <w:left w:val="none" w:color="000000" w:sz="4" w:space="0"/>
                <w:bottom w:val="none" w:color="000000" w:sz="4" w:space="0"/>
                <w:right w:val="none" w:color="000000" w:sz="4" w:space="0"/>
              </w:pBdr>
              <w:spacing w:line="242"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С сентября 2024 года в автономн</w:t>
            </w:r>
            <w:r>
              <w:rPr>
                <w:rFonts w:ascii="Times New Roman" w:hAnsi="Times New Roman" w:cs="Times New Roman"/>
                <w:sz w:val="22"/>
                <w:szCs w:val="22"/>
              </w:rPr>
              <w:t xml:space="preserve">ом округе реализуется Всероссийский информационно-просветительский проект «Будем рядом», направленный на поддержку родителей, специалистов по работе с детьми и молодежью, а также детей и подростков. Основная цель проекта – создание комплексной системы подд</w:t>
            </w:r>
            <w:r>
              <w:rPr>
                <w:rFonts w:ascii="Times New Roman" w:hAnsi="Times New Roman" w:cs="Times New Roman"/>
                <w:sz w:val="22"/>
                <w:szCs w:val="22"/>
              </w:rPr>
              <w:t xml:space="preserve">ержки, обеспечивающей безопасность, благополучие и позитивное развитие детей и молодежи через просвещение и вовлечение всех заинтересованных сторон. Проект реализуется через различные каналы коммуникации, включая еженедельные подкасты с экспертами на темы </w:t>
            </w:r>
            <w:r>
              <w:rPr>
                <w:rFonts w:ascii="Times New Roman" w:hAnsi="Times New Roman" w:cs="Times New Roman"/>
                <w:sz w:val="22"/>
                <w:szCs w:val="22"/>
              </w:rPr>
              <w:t xml:space="preserve">девиантного</w:t>
            </w:r>
            <w:r>
              <w:rPr>
                <w:rFonts w:ascii="Times New Roman" w:hAnsi="Times New Roman" w:cs="Times New Roman"/>
                <w:sz w:val="22"/>
                <w:szCs w:val="22"/>
              </w:rPr>
              <w:t xml:space="preserve"> поведения детей, вредных зависимостей у подростков, жизненных ориентиров, эффективных способов разрешения конфликтов с детьми и безопасности подростков. </w:t>
            </w:r>
            <w:r>
              <w:rPr>
                <w:rFonts w:ascii="Times New Roman" w:hAnsi="Times New Roman" w:cs="Times New Roman"/>
                <w:sz w:val="22"/>
                <w:szCs w:val="22"/>
              </w:rPr>
            </w:r>
          </w:p>
          <w:p>
            <w:pPr>
              <w:pStyle w:val="1646"/>
              <w:spacing w:line="242" w:lineRule="auto"/>
              <w:jc w:val="both"/>
              <w:rPr>
                <w:rFonts w:ascii="Times New Roman" w:hAnsi="Times New Roman" w:cs="Times New Roman"/>
              </w:rPr>
            </w:pPr>
            <w:r>
              <w:rPr>
                <w:rFonts w:ascii="Times New Roman" w:hAnsi="Times New Roman" w:cs="Times New Roman"/>
              </w:rPr>
              <w:t xml:space="preserve">В 2025 году в рамках проекта разработаны методические рекомендации для реализации на территориях муниципальных образований автономного округа по следующим направлениям: «Цифровой щит: профилактика </w:t>
            </w:r>
            <w:r>
              <w:rPr>
                <w:rFonts w:ascii="Times New Roman" w:hAnsi="Times New Roman" w:cs="Times New Roman"/>
              </w:rPr>
              <w:t xml:space="preserve">кибермошенничества</w:t>
            </w:r>
            <w:r>
              <w:rPr>
                <w:rFonts w:ascii="Times New Roman" w:hAnsi="Times New Roman" w:cs="Times New Roman"/>
              </w:rPr>
              <w:t xml:space="preserve"> среди молодежи» – методический материал по профилактике криминальных угроз в сфере информационно-коммуникационных технологий, интернет-мошенничества и </w:t>
            </w:r>
            <w:r>
              <w:rPr>
                <w:rFonts w:ascii="Times New Roman" w:hAnsi="Times New Roman" w:cs="Times New Roman"/>
              </w:rPr>
              <w:t xml:space="preserve">киберпреступности</w:t>
            </w:r>
            <w:r>
              <w:rPr>
                <w:rFonts w:ascii="Times New Roman" w:hAnsi="Times New Roman" w:cs="Times New Roman"/>
              </w:rPr>
              <w:t xml:space="preserve">; «Правовой компас: профилактика вовлечения молодежи в незаконный оборот наркотиков» – методический материал по правовому просвещению о последствиях участия в распространении наркотических средств, психотропных веществ и их </w:t>
            </w:r>
            <w:r>
              <w:rPr>
                <w:rFonts w:ascii="Times New Roman" w:hAnsi="Times New Roman" w:cs="Times New Roman"/>
              </w:rPr>
              <w:t xml:space="preserve">прекурсоров</w:t>
            </w:r>
            <w:r>
              <w:rPr>
                <w:rFonts w:ascii="Times New Roman" w:hAnsi="Times New Roman" w:cs="Times New Roman"/>
              </w:rPr>
              <w:t xml:space="preserve">; «Твоя жизнь – твой выбор: профилактика употребления психоактивных веществ среди молодежи» – методический материал по правовому просвещению о последствиях участия в распространении наркотических средств, психотропных веществ и их </w:t>
            </w:r>
            <w:r>
              <w:rPr>
                <w:rFonts w:ascii="Times New Roman" w:hAnsi="Times New Roman" w:cs="Times New Roman"/>
              </w:rPr>
              <w:t xml:space="preserve">прекурсоров</w:t>
            </w:r>
            <w:r>
              <w:rPr>
                <w:rFonts w:ascii="Times New Roman" w:hAnsi="Times New Roman" w:cs="Times New Roman"/>
              </w:rPr>
              <w:t xml:space="preserve">.</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целях организации позитивной занятости, развития творчества и поддержки талантливой молодежи в регионе в течение 2025 года организованы:</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Региональный этап Всероссийского проект-фестиваля «Российская школьная весна» в Югре (общее количество участников более 130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Окружной фестиваль «Студенческая весна» (общее количество участников 709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Региональный проект «Неделя добра в Югре»: с 20 по 27 апреля 2025 года – «Школьная не</w:t>
            </w:r>
            <w:r>
              <w:rPr>
                <w:rFonts w:ascii="Times New Roman" w:hAnsi="Times New Roman" w:cs="Times New Roman"/>
              </w:rPr>
              <w:t xml:space="preserve">деля добра в Югре», с 21 по 27 июля 2025 года – «Корпоративная неделя добра в Югре», с 20 по 26 октября 2025 года – «Студенческая неделя добра в Югре», с 1 по 7 декабря 2025 года – «Зимняя неделя добра в Югре» (общее количество участников 157 300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Фестиваль «День молодежи 2025» (общее количество участников 15 000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Региональный образовательный форум «Добрые люди» (общее количество участников 150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Открытый молодежный конкурс социального </w:t>
            </w:r>
            <w:r>
              <w:rPr>
                <w:rFonts w:ascii="Times New Roman" w:hAnsi="Times New Roman" w:cs="Times New Roman"/>
              </w:rPr>
              <w:t xml:space="preserve">медиаконтента</w:t>
            </w:r>
            <w:r>
              <w:rPr>
                <w:rFonts w:ascii="Times New Roman" w:hAnsi="Times New Roman" w:cs="Times New Roman"/>
              </w:rPr>
              <w:t xml:space="preserve"> «Голос поколения – 2025» (общее количество участников 145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автономном округе проведено два Всероссийских мероприятия, входящих в линейку </w:t>
            </w:r>
            <w:r>
              <w:rPr>
                <w:rFonts w:ascii="Times New Roman" w:hAnsi="Times New Roman" w:cs="Times New Roman"/>
              </w:rPr>
              <w:t xml:space="preserve">Росмолодежь.Форум</w:t>
            </w:r>
            <w:r>
              <w:rPr>
                <w:rFonts w:ascii="Times New Roman" w:hAnsi="Times New Roman" w:cs="Times New Roman"/>
              </w:rPr>
              <w:t xml:space="preserve"> – Всероссийский молодежный экологический форум-фестиваль «Арктика. Лёд тронулся» и Всероссийский форум социального призвания «Добрино».</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2025 году 599 представителей автономного округа из каждого муниципального образования приняли участие в форумах, входящих в линейку </w:t>
            </w:r>
            <w:r>
              <w:rPr>
                <w:rFonts w:ascii="Times New Roman" w:hAnsi="Times New Roman" w:cs="Times New Roman"/>
              </w:rPr>
              <w:t xml:space="preserve">Росмолодежь.Форумы</w:t>
            </w:r>
            <w:r>
              <w:rPr>
                <w:rFonts w:ascii="Times New Roman" w:hAnsi="Times New Roman" w:cs="Times New Roman"/>
              </w:rPr>
              <w:t xml:space="preserve"> (при плановой квоте региону – 484 человека). Подано 5 366 заявок.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2025 году продолжена деятельность Ханты-Мансийского регионального отделения молодежной общероссийской общественной организации «Российские Студенческие Отряды» (далее – регио</w:t>
            </w:r>
            <w:r>
              <w:rPr>
                <w:rFonts w:ascii="Times New Roman" w:hAnsi="Times New Roman" w:cs="Times New Roman"/>
              </w:rPr>
              <w:t xml:space="preserve">нальное отделение РСО). По состоянию на 01.12.2025 36 трудовых отрядов Югры насчитывают в своих рядах более 700 студентов. Летом 2025 года более 250 бойцов Российских студенческих отрядов из 9 субъектов РФ трудились на возведение мостового перехода через л</w:t>
            </w:r>
            <w:r>
              <w:rPr>
                <w:rFonts w:ascii="Times New Roman" w:hAnsi="Times New Roman" w:cs="Times New Roman"/>
              </w:rPr>
              <w:t xml:space="preserve">егендарную реку Обь в районе Сургута. Совместно с АО «Мостострой-11» участники РСО работали на финальном этапе: укладка дорожного полотна, установка знаков и ограждений. Открытие состоялось 15.10.2025 с участием Президента Российской Федерации В.В. Путина.</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РДДМ в 2025 году проведены региональные профильные смены Движения первых на базе детского спортивно-оздоровительного лагеря «Окуневские зори» (Советский район). Участниками смен стали 298 ребят со всей Югры в </w:t>
            </w:r>
            <w:r>
              <w:rPr>
                <w:rFonts w:ascii="Times New Roman" w:hAnsi="Times New Roman" w:cs="Times New Roman"/>
              </w:rPr>
              <w:t xml:space="preserve">возрасте от 7 до 17 лет (включительно), в том числе состоящие на профилактических учетах и находящиеся в трудной жизненной ситуации (48 человек).</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Автономный округ стал одним из </w:t>
            </w:r>
            <w:r>
              <w:rPr>
                <w:rFonts w:ascii="Times New Roman" w:hAnsi="Times New Roman" w:cs="Times New Roman"/>
              </w:rPr>
              <w:t xml:space="preserve">10 субъектов РФ, в котором реализована федеральная смена для трудных подростков. Участниками смены «Новый старт с Первыми» стали несовершеннолетние, состоящие на учете в органах и учреждениях системы профилактики безнадзорности и правонарушений несовершенн</w:t>
            </w:r>
            <w:r>
              <w:rPr>
                <w:rFonts w:ascii="Times New Roman" w:hAnsi="Times New Roman" w:cs="Times New Roman"/>
              </w:rPr>
              <w:t xml:space="preserve">олетних, в возрасте от 12 до 15 лет, в количестве 48 человек. Педагогический состав смены насчитывал 14 человек и включал программного директора, наставника, педагога-психолога, старшего вожатого, педагога-организатора, четырех воспитателей и пять вожатых.</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2025 году РДДМ совместно с партнерами </w:t>
            </w:r>
            <w:r>
              <w:rPr>
                <w:rFonts w:ascii="Times New Roman" w:hAnsi="Times New Roman" w:cs="Times New Roman"/>
              </w:rPr>
              <w:t xml:space="preserve">Добро.рф</w:t>
            </w:r>
            <w:r>
              <w:rPr>
                <w:rFonts w:ascii="Times New Roman" w:hAnsi="Times New Roman" w:cs="Times New Roman"/>
              </w:rPr>
              <w:t xml:space="preserve"> начали реализа</w:t>
            </w:r>
            <w:r>
              <w:rPr>
                <w:rFonts w:ascii="Times New Roman" w:hAnsi="Times New Roman" w:cs="Times New Roman"/>
              </w:rPr>
              <w:t xml:space="preserve">цию проекта «Значимый взрослый». По итогам информационной кампании проекта успешно прошли регистрацию 117 участников из Югры, выразивших готовность стать наставниками. В этом проекте участники станут наставниками для ребят из категории трудных подростков. </w:t>
            </w:r>
            <w:r>
              <w:rPr>
                <w:rFonts w:ascii="Times New Roman" w:hAnsi="Times New Roman" w:cs="Times New Roman"/>
              </w:rPr>
              <w:t xml:space="preserve">В декабре состоялось 2 тренинга в Ханты-Мансийске и Сургуте для потенциальных наставников, где они узнали, как работать с такими ребятами и что их ждет в проекте. Участие в очном тренинге приняли в общем 27 человек. В 2026 году эта работа будет продолжена.</w:t>
            </w:r>
            <w:r>
              <w:rPr>
                <w:rFonts w:ascii="Times New Roman" w:hAnsi="Times New Roman" w:cs="Times New Roman"/>
              </w:rPr>
            </w:r>
          </w:p>
          <w:p>
            <w:pPr>
              <w:pStyle w:val="1646"/>
              <w:spacing w:line="242" w:lineRule="auto"/>
              <w:jc w:val="both"/>
              <w:rPr>
                <w:rFonts w:ascii="Times New Roman" w:hAnsi="Times New Roman" w:cs="Times New Roman"/>
              </w:rPr>
            </w:pPr>
            <w:r>
              <w:rPr>
                <w:rFonts w:ascii="Times New Roman" w:hAnsi="Times New Roman" w:cs="Times New Roman"/>
              </w:rPr>
              <w:t xml:space="preserve">В целях профилактики негативных социальных явлений в детской и молодежной среде разработан и утве</w:t>
            </w:r>
            <w:r>
              <w:rPr>
                <w:rFonts w:ascii="Times New Roman" w:hAnsi="Times New Roman" w:cs="Times New Roman"/>
              </w:rPr>
              <w:t xml:space="preserve">ржден Комплекс мер по профилактике негативных социальных явлений в детской и молодежной среде в Ханты-Мансийском автономном округе – Югре на 2025–2026 годы (распоряжение первого заместителя Губернатора автономного округа П.В. Тараканова от 09.12.2024 № 47)</w:t>
            </w:r>
            <w:r>
              <w:rPr>
                <w:rFonts w:ascii="Times New Roman" w:hAnsi="Times New Roman" w:cs="Times New Roman"/>
              </w:rPr>
            </w:r>
          </w:p>
        </w:tc>
      </w:tr>
    </w:tbl>
    <w:p>
      <w:pPr>
        <w:tabs>
          <w:tab w:val="left" w:pos="540" w:leader="none"/>
        </w:tabs>
        <w:spacing w:line="276" w:lineRule="auto"/>
        <w:ind w:firstLine="709"/>
      </w:pPr>
    </w:p>
    <w:p>
      <w:pPr>
        <w:tabs>
          <w:tab w:val="left" w:pos="540" w:leader="none"/>
        </w:tabs>
        <w:spacing w:line="276" w:lineRule="auto"/>
        <w:ind w:firstLine="709"/>
      </w:pPr>
    </w:p>
    <w:p>
      <w:pPr>
        <w:tabs>
          <w:tab w:val="left" w:pos="540" w:leader="none"/>
        </w:tabs>
        <w:spacing w:line="276" w:lineRule="auto"/>
        <w:ind w:firstLine="709"/>
        <w:rPr>
          <w:b/>
          <w:i/>
        </w:rPr>
      </w:pPr>
      <w:r>
        <w:rPr>
          <w:b/>
          <w:i/>
        </w:rPr>
        <w:t xml:space="preserve">3. «Сокращение числа лиц, у которых диагностированы наркомания или пагубное (с негативными последствиями) потребление наркотиков»</w:t>
      </w:r>
      <w:r>
        <w:rPr>
          <w:b/>
          <w:i/>
        </w:rPr>
      </w:r>
    </w:p>
    <w:p>
      <w:pPr>
        <w:tabs>
          <w:tab w:val="left" w:pos="540" w:leader="none"/>
        </w:tabs>
        <w:spacing w:line="276" w:lineRule="auto"/>
        <w:ind w:firstLine="709"/>
      </w:pPr>
      <w:r>
        <w:t xml:space="preserve">Задачи, решаемые в этом приоритетном направлении:</w:t>
      </w:r>
    </w:p>
    <w:p>
      <w:pPr>
        <w:tabs>
          <w:tab w:val="left" w:pos="540" w:leader="none"/>
          <w:tab w:val="left" w:pos="992" w:leader="none"/>
        </w:tabs>
        <w:spacing w:line="276" w:lineRule="auto"/>
        <w:ind w:firstLine="709"/>
      </w:pPr>
      <w:r>
        <w:t xml:space="preserve">повышение эффективности функционирования наркологической службы, предупреждение случаев незаконного лечения больных наркоманией;</w:t>
      </w:r>
    </w:p>
    <w:p>
      <w:pPr>
        <w:tabs>
          <w:tab w:val="left" w:pos="540" w:leader="none"/>
          <w:tab w:val="left" w:pos="992" w:leader="none"/>
        </w:tabs>
        <w:spacing w:line="276" w:lineRule="auto"/>
        <w:ind w:firstLine="709"/>
      </w:pPr>
      <w:r>
        <w:t xml:space="preserve">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pPr>
        <w:tabs>
          <w:tab w:val="left" w:pos="540" w:leader="none"/>
          <w:tab w:val="left" w:pos="992" w:leader="none"/>
        </w:tabs>
        <w:spacing w:line="276" w:lineRule="auto"/>
        <w:ind w:firstLine="709"/>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p>
    <w:p>
      <w:pPr>
        <w:tabs>
          <w:tab w:val="left" w:pos="540" w:leader="none"/>
          <w:tab w:val="left" w:pos="992" w:leader="none"/>
        </w:tabs>
        <w:spacing w:line="276" w:lineRule="auto"/>
        <w:ind w:firstLine="709"/>
      </w:pPr>
      <w:r>
        <w:t xml:space="preserve">Меры, обеспечивающие решение указанных задач:</w:t>
      </w:r>
    </w:p>
    <w:p>
      <w:pPr>
        <w:tabs>
          <w:tab w:val="left" w:pos="540" w:leader="none"/>
          <w:tab w:val="left" w:pos="992" w:leader="none"/>
        </w:tabs>
        <w:spacing w:line="276" w:lineRule="auto"/>
        <w:ind w:firstLine="709"/>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pPr>
        <w:tabs>
          <w:tab w:val="left" w:pos="540" w:leader="none"/>
          <w:tab w:val="left" w:pos="992" w:leader="none"/>
        </w:tabs>
        <w:spacing w:line="276" w:lineRule="auto"/>
        <w:ind w:firstLine="709"/>
      </w:pPr>
      <w:r>
        <w:t xml:space="preserve">совершенствование методов профилактики и диагностики незаконного потребления нар</w:t>
      </w:r>
      <w:r>
        <w:t xml:space="preserve">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p>
    <w:p>
      <w:pPr>
        <w:tabs>
          <w:tab w:val="left" w:pos="540" w:leader="none"/>
          <w:tab w:val="left" w:pos="992" w:leader="none"/>
        </w:tabs>
        <w:spacing w:line="276" w:lineRule="auto"/>
        <w:ind w:firstLine="709"/>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r>
        <w:t xml:space="preserve">психоактивным</w:t>
      </w:r>
      <w:r>
        <w:t xml:space="preserve"> действием;</w:t>
      </w:r>
    </w:p>
    <w:p>
      <w:pPr>
        <w:tabs>
          <w:tab w:val="left" w:pos="540" w:leader="none"/>
          <w:tab w:val="left" w:pos="992" w:leader="none"/>
        </w:tabs>
        <w:spacing w:line="276" w:lineRule="auto"/>
        <w:ind w:firstLine="709"/>
      </w:pPr>
      <w:r>
        <w:t xml:space="preserve">внедрение программ профилактики социально значимых инфекционных заболеваний среди наркопотребителей;</w:t>
      </w:r>
    </w:p>
    <w:p>
      <w:pPr>
        <w:tabs>
          <w:tab w:val="left" w:pos="540" w:leader="none"/>
          <w:tab w:val="left" w:pos="992" w:leader="none"/>
        </w:tabs>
        <w:spacing w:line="276" w:lineRule="auto"/>
        <w:ind w:firstLine="709"/>
      </w:pPr>
      <w:r>
        <w:t xml:space="preserve">развитие системы социальной реабилитации, а также ресоциализации наркопотребителей;</w:t>
      </w:r>
    </w:p>
    <w:p>
      <w:pPr>
        <w:tabs>
          <w:tab w:val="left" w:pos="540" w:leader="none"/>
          <w:tab w:val="left" w:pos="992" w:leader="none"/>
        </w:tabs>
        <w:spacing w:line="276" w:lineRule="auto"/>
        <w:ind w:firstLine="709"/>
      </w:pPr>
      <w:r>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p>
    <w:p>
      <w:pPr>
        <w:tabs>
          <w:tab w:val="left" w:pos="540" w:leader="none"/>
          <w:tab w:val="left" w:pos="992" w:leader="none"/>
        </w:tabs>
        <w:spacing w:line="276" w:lineRule="auto"/>
        <w:ind w:firstLine="709"/>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pPr>
        <w:tabs>
          <w:tab w:val="left" w:pos="540" w:leader="none"/>
          <w:tab w:val="left" w:pos="992" w:leader="none"/>
        </w:tabs>
        <w:spacing w:line="276" w:lineRule="auto"/>
        <w:ind w:firstLine="709"/>
      </w:pPr>
      <w:r>
        <w:t xml:space="preserve">сокращение количества отравления людей и снижение уровня смертности населения в результате незаконного потребления наркотиков.</w:t>
      </w:r>
    </w:p>
    <w:p>
      <w:pPr>
        <w:tabs>
          <w:tab w:val="left" w:pos="540" w:leader="none"/>
        </w:tabs>
        <w:spacing w:line="276" w:lineRule="auto"/>
        <w:ind w:firstLine="709"/>
      </w:pPr>
      <w:r>
        <w:t xml:space="preserve">Информация о реализации указанного приоритетного направления:</w:t>
      </w:r>
    </w:p>
    <w:p>
      <w:pPr>
        <w:tabs>
          <w:tab w:val="left" w:pos="540" w:leader="none"/>
        </w:tabs>
        <w:spacing w:line="276" w:lineRule="auto"/>
        <w:ind w:firstLine="709"/>
      </w:pPr>
    </w:p>
    <w:tbl>
      <w:tblPr>
        <w:tblStyle w:val="1614"/>
        <w:tblW w:w="0" w:type="auto"/>
        <w:tblLook w:val="04A0" w:firstRow="1" w:lastRow="0" w:firstColumn="1" w:lastColumn="0" w:noHBand="0" w:noVBand="1"/>
      </w:tblPr>
      <w:tblGrid>
        <w:gridCol w:w="585"/>
        <w:gridCol w:w="2763"/>
        <w:gridCol w:w="5996"/>
      </w:tblGrid>
      <w:tr>
        <w:trPr>
          <w:tblHeader/>
        </w:trPr>
        <w:tc>
          <w:tcPr>
            <w:tcW w:w="589" w:type="dxa"/>
            <w:noWrap w:val="false"/>
            <w:textDirection w:val="lrTb"/>
            <w:vAlign w:val="center"/>
          </w:tcPr>
          <w:p>
            <w:pPr>
              <w:spacing w:line="240" w:lineRule="auto"/>
              <w:ind w:firstLine="0"/>
              <w:jc w:val="center"/>
              <w:outlineLvl w:val="1"/>
              <w:rPr>
                <w:sz w:val="22"/>
                <w:szCs w:val="22"/>
              </w:rPr>
            </w:pPr>
            <w:r>
              <w:rPr>
                <w:sz w:val="22"/>
                <w:szCs w:val="22"/>
              </w:rPr>
              <w:t xml:space="preserve">№ п/п</w:t>
            </w:r>
            <w:r>
              <w:rPr>
                <w:sz w:val="22"/>
                <w:szCs w:val="22"/>
              </w:rPr>
            </w:r>
          </w:p>
        </w:tc>
        <w:tc>
          <w:tcPr>
            <w:tcW w:w="2780" w:type="dxa"/>
            <w:noWrap w:val="false"/>
            <w:textDirection w:val="lrTb"/>
            <w:vAlign w:val="center"/>
          </w:tcPr>
          <w:p>
            <w:pPr>
              <w:spacing w:line="240" w:lineRule="auto"/>
              <w:ind w:firstLine="0"/>
              <w:jc w:val="center"/>
              <w:rPr>
                <w:sz w:val="22"/>
                <w:szCs w:val="22"/>
              </w:rPr>
            </w:pPr>
            <w:r>
              <w:rPr>
                <w:sz w:val="22"/>
                <w:szCs w:val="22"/>
              </w:rPr>
              <w:t xml:space="preserve">Мероприятия</w:t>
            </w:r>
            <w:r>
              <w:rPr>
                <w:sz w:val="22"/>
                <w:szCs w:val="22"/>
              </w:rPr>
            </w:r>
          </w:p>
        </w:tc>
        <w:tc>
          <w:tcPr>
            <w:tcW w:w="6138" w:type="dxa"/>
            <w:noWrap w:val="false"/>
            <w:textDirection w:val="lrTb"/>
            <w:vAlign w:val="center"/>
          </w:tcPr>
          <w:p>
            <w:pPr>
              <w:tabs>
                <w:tab w:val="left" w:pos="540" w:leader="none"/>
              </w:tabs>
              <w:spacing w:line="240" w:lineRule="auto"/>
              <w:ind w:firstLine="0"/>
              <w:jc w:val="center"/>
              <w:rPr>
                <w:sz w:val="22"/>
                <w:szCs w:val="22"/>
              </w:rPr>
            </w:pPr>
            <w:r>
              <w:rPr>
                <w:sz w:val="22"/>
                <w:szCs w:val="22"/>
              </w:rPr>
              <w:t xml:space="preserve">Информация о реализации</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1</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В 2025 году в автономном округе услуги 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w:t>
            </w:r>
            <w:r>
              <w:rPr>
                <w:sz w:val="22"/>
                <w:szCs w:val="22"/>
              </w:rPr>
              <w:br/>
              <w:t xml:space="preserve">от зависимости, предоставляли 5 негосударственных поставщиков социальных услуг:</w:t>
            </w:r>
            <w:r>
              <w:rPr>
                <w:sz w:val="22"/>
                <w:szCs w:val="22"/>
              </w:rPr>
            </w:r>
          </w:p>
          <w:p>
            <w:pPr>
              <w:spacing w:line="240" w:lineRule="auto"/>
              <w:ind w:firstLine="0"/>
              <w:outlineLvl w:val="1"/>
              <w:rPr>
                <w:sz w:val="22"/>
                <w:szCs w:val="22"/>
              </w:rPr>
            </w:pPr>
            <w:r>
              <w:rPr>
                <w:sz w:val="22"/>
                <w:szCs w:val="22"/>
              </w:rPr>
              <w:t xml:space="preserve">региональная общественная организация по профилактике и реабилитации лиц, страдающих заболеваниями наркоманией и алкоголизмом «Чистый путь», г. Сургут;</w:t>
            </w:r>
            <w:r>
              <w:rPr>
                <w:sz w:val="22"/>
                <w:szCs w:val="22"/>
              </w:rPr>
            </w:r>
          </w:p>
          <w:p>
            <w:pPr>
              <w:spacing w:line="240" w:lineRule="auto"/>
              <w:ind w:firstLine="0"/>
              <w:contextualSpacing/>
              <w:rPr>
                <w:sz w:val="22"/>
                <w:szCs w:val="22"/>
              </w:rPr>
            </w:pPr>
            <w:r>
              <w:rPr>
                <w:sz w:val="22"/>
                <w:szCs w:val="22"/>
              </w:rPr>
              <w:t xml:space="preserve">автономная некоммерческая организация «Центр социальной реабилитации «Феникс», г. Нижневартовск;</w:t>
            </w:r>
            <w:r>
              <w:rPr>
                <w:sz w:val="22"/>
                <w:szCs w:val="22"/>
              </w:rPr>
            </w:r>
          </w:p>
          <w:p>
            <w:pPr>
              <w:spacing w:line="240" w:lineRule="auto"/>
              <w:ind w:firstLine="0"/>
              <w:contextualSpacing/>
              <w:rPr>
                <w:sz w:val="22"/>
                <w:szCs w:val="22"/>
              </w:rPr>
            </w:pPr>
            <w:r>
              <w:rPr>
                <w:sz w:val="22"/>
                <w:szCs w:val="22"/>
              </w:rPr>
              <w:t xml:space="preserve">региональная благотворительная общественная организация социальной адаптации граждан «Фавор», </w:t>
            </w:r>
            <w:r>
              <w:rPr>
                <w:sz w:val="22"/>
                <w:szCs w:val="22"/>
              </w:rPr>
              <w:br/>
              <w:t xml:space="preserve">г. Ханты-Мансийск;</w:t>
            </w:r>
            <w:r>
              <w:rPr>
                <w:sz w:val="22"/>
                <w:szCs w:val="22"/>
              </w:rPr>
            </w:r>
          </w:p>
          <w:p>
            <w:pPr>
              <w:pStyle w:val="1615"/>
              <w:spacing w:line="240" w:lineRule="auto"/>
              <w:ind w:left="0" w:firstLine="0"/>
              <w:rPr>
                <w:sz w:val="22"/>
                <w:szCs w:val="22"/>
              </w:rPr>
            </w:pPr>
            <w:r>
              <w:rPr>
                <w:sz w:val="22"/>
                <w:szCs w:val="22"/>
              </w:rPr>
              <w:t xml:space="preserve">благотворительный Фонд социальной и духовной помощи «</w:t>
            </w:r>
            <w:r>
              <w:rPr>
                <w:sz w:val="22"/>
                <w:szCs w:val="22"/>
              </w:rPr>
              <w:t xml:space="preserve">Вефиль</w:t>
            </w:r>
            <w:r>
              <w:rPr>
                <w:sz w:val="22"/>
                <w:szCs w:val="22"/>
              </w:rPr>
              <w:t xml:space="preserve">», г. </w:t>
            </w:r>
            <w:r>
              <w:rPr>
                <w:sz w:val="22"/>
                <w:szCs w:val="22"/>
              </w:rPr>
              <w:t xml:space="preserve">Югорск</w:t>
            </w:r>
            <w:r>
              <w:rPr>
                <w:sz w:val="22"/>
                <w:szCs w:val="22"/>
              </w:rPr>
              <w:t xml:space="preserve">;</w:t>
            </w:r>
            <w:r>
              <w:rPr>
                <w:sz w:val="22"/>
                <w:szCs w:val="22"/>
              </w:rPr>
            </w:r>
          </w:p>
          <w:p>
            <w:pPr>
              <w:pStyle w:val="1615"/>
              <w:spacing w:line="240" w:lineRule="auto"/>
              <w:ind w:left="0" w:firstLine="0"/>
              <w:rPr>
                <w:sz w:val="22"/>
                <w:szCs w:val="22"/>
              </w:rPr>
            </w:pPr>
            <w:r>
              <w:rPr>
                <w:sz w:val="22"/>
                <w:szCs w:val="22"/>
              </w:rPr>
              <w:t xml:space="preserve">благотворительный фонд социальной и духовной помощи «Возрождение», г. Нягань.</w:t>
            </w:r>
            <w:r>
              <w:rPr>
                <w:sz w:val="22"/>
                <w:szCs w:val="22"/>
              </w:rPr>
            </w:r>
          </w:p>
          <w:p>
            <w:pPr>
              <w:spacing w:line="240" w:lineRule="auto"/>
              <w:ind w:firstLine="0"/>
              <w:rPr>
                <w:rFonts w:eastAsia="Calibri"/>
                <w:sz w:val="22"/>
                <w:szCs w:val="22"/>
              </w:rPr>
            </w:pPr>
            <w:r>
              <w:rPr>
                <w:sz w:val="22"/>
                <w:szCs w:val="22"/>
              </w:rPr>
              <w:t xml:space="preserve">Услуги по социальной реабилитации в рамках сертификатов указанными негосударственными организациями в 2025 году предоставлены 30 гражданам целевой категории. Объем финансирования реализации сертификатов составил 5 073,4 </w:t>
            </w:r>
            <w:r>
              <w:rPr>
                <w:sz w:val="22"/>
                <w:szCs w:val="22"/>
              </w:rPr>
              <w:t xml:space="preserve">тыс.рублей</w:t>
            </w:r>
            <w:r>
              <w:rPr>
                <w:sz w:val="22"/>
                <w:szCs w:val="22"/>
              </w:rPr>
              <w:t xml:space="preserve">.</w:t>
            </w:r>
            <w:r>
              <w:rPr>
                <w:rFonts w:eastAsia="Calibri"/>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2</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Предоставление компенсации поставщикам социальных услуг, занимающимся вопросами комплексной реабилитации и ресоциализации наркопотребителей</w:t>
            </w:r>
            <w:r>
              <w:rPr>
                <w:rFonts w:ascii="Times New Roman" w:hAnsi="Times New Roman" w:cs="Times New Roman"/>
                <w:sz w:val="22"/>
                <w:szCs w:val="22"/>
              </w:rPr>
            </w:r>
          </w:p>
        </w:tc>
        <w:tc>
          <w:tcPr>
            <w:tcW w:w="6138" w:type="dxa"/>
            <w:noWrap w:val="false"/>
            <w:textDirection w:val="lrTb"/>
          </w:tcPr>
          <w:p>
            <w:pPr>
              <w:spacing w:line="240" w:lineRule="auto"/>
              <w:ind w:firstLine="0"/>
              <w:contextualSpacing/>
              <w:outlineLvl w:val="1"/>
              <w:rPr>
                <w:sz w:val="22"/>
                <w:szCs w:val="22"/>
              </w:rPr>
            </w:pPr>
            <w:r>
              <w:rPr>
                <w:sz w:val="22"/>
                <w:szCs w:val="22"/>
              </w:rPr>
              <w:t xml:space="preserve">В 2025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 xml:space="preserve">РОО «Чистый путь» в объеме 5 542,7 </w:t>
            </w:r>
            <w:r>
              <w:rPr>
                <w:sz w:val="22"/>
                <w:szCs w:val="22"/>
              </w:rPr>
              <w:t xml:space="preserve">тыс.рублей</w:t>
            </w:r>
            <w:r>
              <w:rPr>
                <w:sz w:val="22"/>
                <w:szCs w:val="22"/>
              </w:rPr>
              <w:t xml:space="preserve">.</w:t>
            </w:r>
            <w:r>
              <w:rPr>
                <w:sz w:val="22"/>
                <w:szCs w:val="22"/>
              </w:rPr>
            </w:r>
          </w:p>
          <w:p>
            <w:pPr>
              <w:spacing w:line="240" w:lineRule="auto"/>
              <w:ind w:firstLine="0"/>
              <w:outlineLvl w:val="1"/>
              <w:rPr>
                <w:sz w:val="22"/>
                <w:szCs w:val="22"/>
              </w:rPr>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 xml:space="preserve">по социальной реабилитации, в объеме 15 299,6 </w:t>
            </w:r>
            <w:r>
              <w:rPr>
                <w:sz w:val="22"/>
                <w:szCs w:val="22"/>
              </w:rPr>
              <w:t xml:space="preserve">тыс.рублей</w:t>
            </w:r>
            <w:r>
              <w:rPr>
                <w:sz w:val="22"/>
                <w:szCs w:val="22"/>
              </w:rPr>
              <w:t xml:space="preserve">.</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3</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color w:val="000000"/>
                <w:sz w:val="22"/>
                <w:szCs w:val="22"/>
              </w:rPr>
            </w:pPr>
            <w:r>
              <w:rPr>
                <w:color w:val="000000"/>
                <w:sz w:val="22"/>
                <w:szCs w:val="22"/>
              </w:rPr>
              <w:t xml:space="preserve">На террит</w:t>
            </w:r>
            <w:r>
              <w:rPr>
                <w:color w:val="000000"/>
                <w:sz w:val="22"/>
                <w:szCs w:val="22"/>
              </w:rPr>
              <w:t xml:space="preserve">ории ХМАО-Югры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w:t>
            </w:r>
            <w:r>
              <w:rPr>
                <w:color w:val="000000"/>
                <w:sz w:val="22"/>
                <w:szCs w:val="22"/>
              </w:rPr>
              <w:t xml:space="preserve">-географических</w:t>
            </w:r>
            <w:r>
              <w:rPr>
                <w:color w:val="000000"/>
                <w:sz w:val="22"/>
                <w:szCs w:val="22"/>
              </w:rPr>
              <w:t xml:space="preserve">, транспортных, этно-</w:t>
            </w:r>
            <w:r>
              <w:rPr>
                <w:color w:val="000000"/>
                <w:sz w:val="22"/>
                <w:szCs w:val="22"/>
              </w:rPr>
              <w:t xml:space="preserve">культуральных</w:t>
            </w:r>
            <w:r>
              <w:rPr>
                <w:color w:val="000000"/>
                <w:sz w:val="22"/>
                <w:szCs w:val="22"/>
              </w:rPr>
              <w:t xml:space="preserve"> особенностей региона. Соблюдаются принципы </w:t>
            </w:r>
            <w:r>
              <w:rPr>
                <w:color w:val="000000"/>
                <w:sz w:val="22"/>
                <w:szCs w:val="22"/>
              </w:rPr>
              <w:t xml:space="preserve">этапности</w:t>
            </w:r>
            <w:r>
              <w:rPr>
                <w:color w:val="000000"/>
                <w:sz w:val="22"/>
                <w:szCs w:val="22"/>
              </w:rPr>
              <w:t xml:space="preserve"> проведения, непрерывности, комплексности лечебно-реабилитационных мероприятий. Схема маршрутизации пациентов выстроена по з</w:t>
            </w:r>
            <w:r>
              <w:rPr>
                <w:color w:val="000000"/>
                <w:sz w:val="22"/>
                <w:szCs w:val="22"/>
              </w:rPr>
              <w:t xml:space="preserve">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w:t>
            </w:r>
            <w:r>
              <w:rPr>
                <w:color w:val="000000"/>
                <w:sz w:val="22"/>
                <w:szCs w:val="22"/>
              </w:rPr>
              <w:t xml:space="preserve">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r>
              <w:rPr>
                <w:color w:val="000000"/>
                <w:sz w:val="22"/>
                <w:szCs w:val="22"/>
              </w:rPr>
            </w:r>
          </w:p>
          <w:p>
            <w:pPr>
              <w:spacing w:line="240" w:lineRule="auto"/>
              <w:ind w:firstLine="0"/>
              <w:outlineLvl w:val="1"/>
              <w:rPr>
                <w:sz w:val="22"/>
                <w:szCs w:val="22"/>
              </w:rPr>
            </w:pPr>
            <w:r>
              <w:rPr>
                <w:sz w:val="22"/>
                <w:szCs w:val="22"/>
              </w:rPr>
              <w:t xml:space="preserve">В целях повышения качества проведения медицинского освидетельствования на состояние опьянения (алкогольного, наркотического, иного токсического), подготовлен приказ Департамента</w:t>
            </w:r>
            <w:r>
              <w:rPr>
                <w:sz w:val="22"/>
                <w:szCs w:val="22"/>
              </w:rPr>
              <w:t xml:space="preserve"> здравоохранения ХМАО-Югры от 24.12.2025 № 07-П-1868 «Об организации медицинского освидетельствования на состояние опьянения (алкогольного, наркотического и иного токсического) на территории Ханты-Мансийского автономного округа - Югры», которым утверждены:</w:t>
            </w:r>
            <w:r>
              <w:rPr>
                <w:sz w:val="22"/>
                <w:szCs w:val="22"/>
              </w:rPr>
            </w:r>
          </w:p>
          <w:p>
            <w:pPr>
              <w:spacing w:line="240" w:lineRule="auto"/>
              <w:ind w:firstLine="0"/>
              <w:outlineLvl w:val="1"/>
              <w:rPr>
                <w:sz w:val="22"/>
                <w:szCs w:val="22"/>
              </w:rPr>
            </w:pPr>
            <w:r>
              <w:rPr>
                <w:sz w:val="22"/>
                <w:szCs w:val="22"/>
              </w:rPr>
              <w:t xml:space="preserve">Перечень меди</w:t>
            </w:r>
            <w:r>
              <w:rPr>
                <w:sz w:val="22"/>
                <w:szCs w:val="22"/>
              </w:rPr>
              <w:t xml:space="preserve">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Ханты-Мансийского автономного округа – Югры;</w:t>
            </w:r>
            <w:r>
              <w:rPr>
                <w:sz w:val="22"/>
                <w:szCs w:val="22"/>
              </w:rPr>
            </w:r>
          </w:p>
          <w:p>
            <w:pPr>
              <w:spacing w:line="240" w:lineRule="auto"/>
              <w:ind w:firstLine="0"/>
              <w:outlineLvl w:val="1"/>
              <w:rPr>
                <w:sz w:val="22"/>
                <w:szCs w:val="22"/>
              </w:rPr>
            </w:pPr>
            <w:r>
              <w:rPr>
                <w:sz w:val="22"/>
                <w:szCs w:val="22"/>
              </w:rPr>
              <w:t xml:space="preserve">Схема маршрутизации биологического материала</w:t>
            </w:r>
            <w:r>
              <w:rPr>
                <w:sz w:val="22"/>
                <w:szCs w:val="22"/>
              </w:rPr>
              <w:br/>
              <w:t xml:space="preserve">на химико-токсикологическое исследование по определению алкоголя, наркотических средств, психотропных и других токсических веществ, вызывающих опьянение (интоксикацию), и их метаболитов;</w:t>
            </w:r>
            <w:r>
              <w:rPr>
                <w:sz w:val="22"/>
                <w:szCs w:val="22"/>
              </w:rPr>
            </w:r>
          </w:p>
          <w:p>
            <w:pPr>
              <w:spacing w:line="240" w:lineRule="auto"/>
              <w:ind w:firstLine="0"/>
              <w:outlineLvl w:val="1"/>
              <w:rPr>
                <w:sz w:val="22"/>
                <w:szCs w:val="22"/>
              </w:rPr>
            </w:pPr>
            <w:r>
              <w:rPr>
                <w:sz w:val="22"/>
                <w:szCs w:val="22"/>
              </w:rPr>
              <w:t xml:space="preserve">Рекомендации по организации работы по отбору, транспортировке и хранению биологических объектов для проведения химико-токсикологических исследований</w:t>
            </w:r>
            <w:r>
              <w:rPr>
                <w:sz w:val="22"/>
                <w:szCs w:val="22"/>
              </w:rPr>
              <w:br/>
              <w:t xml:space="preserve">на наличие алкоголя, наркотических средств, психотропных и других токсических веществ, вызывающих опьянение (интоксикацию), и их метаболитов.</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4</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w:t>
            </w:r>
            <w:r>
              <w:rPr>
                <w:rFonts w:ascii="Times New Roman" w:hAnsi="Times New Roman" w:cs="Times New Roman"/>
                <w:sz w:val="22"/>
                <w:szCs w:val="22"/>
              </w:rPr>
              <w:t xml:space="preserve">ой профилактики потребления ПАВ,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r>
              <w:rPr>
                <w:sz w:val="22"/>
                <w:szCs w:val="22"/>
              </w:rPr>
            </w:r>
          </w:p>
          <w:p>
            <w:pPr>
              <w:spacing w:line="240" w:lineRule="auto"/>
              <w:ind w:firstLine="0"/>
              <w:outlineLvl w:val="1"/>
              <w:rPr>
                <w:sz w:val="22"/>
                <w:szCs w:val="22"/>
              </w:rPr>
            </w:pPr>
            <w:r>
              <w:rPr>
                <w:sz w:val="22"/>
                <w:szCs w:val="22"/>
              </w:rPr>
              <w:t xml:space="preserve">Кроме того, в медицинских организациях функционирует</w:t>
            </w:r>
            <w:r>
              <w:rPr>
                <w:sz w:val="22"/>
                <w:szCs w:val="22"/>
              </w:rPr>
              <w:br/>
              <w:t xml:space="preserve">19 отделений и 33 кабинета медицинской профилактики,</w:t>
            </w:r>
            <w:r>
              <w:rPr>
                <w:sz w:val="22"/>
                <w:szCs w:val="22"/>
              </w:rPr>
              <w:br/>
              <w:t xml:space="preserve">на базе 36 медицинских организаций созданы и функционируют кабинеты медицинской помощи при отказе от курения.</w:t>
            </w:r>
            <w:r>
              <w:rPr>
                <w:sz w:val="22"/>
                <w:szCs w:val="22"/>
              </w:rPr>
            </w:r>
          </w:p>
          <w:p>
            <w:pPr>
              <w:spacing w:line="240" w:lineRule="auto"/>
              <w:ind w:firstLine="0"/>
              <w:outlineLvl w:val="1"/>
              <w:rPr>
                <w:sz w:val="22"/>
                <w:szCs w:val="22"/>
              </w:rPr>
            </w:pPr>
            <w:r>
              <w:rPr>
                <w:sz w:val="22"/>
                <w:szCs w:val="22"/>
              </w:rPr>
              <w:t xml:space="preserve">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w:t>
            </w:r>
            <w:r>
              <w:rPr>
                <w:sz w:val="22"/>
                <w:szCs w:val="22"/>
              </w:rPr>
              <w:t xml:space="preserve">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w:t>
            </w:r>
            <w:r>
              <w:rPr>
                <w:sz w:val="22"/>
                <w:szCs w:val="22"/>
              </w:rPr>
              <w:t xml:space="preserve">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5</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w:t>
            </w:r>
            <w:r>
              <w:rPr>
                <w:rFonts w:ascii="Times New Roman" w:hAnsi="Times New Roman" w:cs="Times New Roman"/>
                <w:sz w:val="22"/>
                <w:szCs w:val="22"/>
              </w:rPr>
              <w:t xml:space="preserve">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r>
              <w:rPr>
                <w:rFonts w:ascii="Times New Roman" w:hAnsi="Times New Roman" w:cs="Times New Roman"/>
                <w:sz w:val="22"/>
                <w:szCs w:val="22"/>
              </w:rPr>
            </w:r>
          </w:p>
        </w:tc>
        <w:tc>
          <w:tcPr>
            <w:tcW w:w="6138" w:type="dxa"/>
            <w:noWrap w:val="false"/>
            <w:textDirection w:val="lrTb"/>
          </w:tcPr>
          <w:p>
            <w:pPr>
              <w:spacing w:line="240" w:lineRule="auto"/>
              <w:ind w:firstLine="0"/>
              <w:rPr>
                <w:sz w:val="22"/>
                <w:szCs w:val="22"/>
              </w:rPr>
            </w:pPr>
            <w:r>
              <w:rPr>
                <w:sz w:val="22"/>
                <w:szCs w:val="22"/>
              </w:rPr>
              <w:t xml:space="preserve">Оказание услуг по медицинской реабилитации лиц, потребляющих ПАВ без назначения врача, осуществляется на базе медицинских организаций:</w:t>
            </w:r>
            <w:r>
              <w:rPr>
                <w:sz w:val="22"/>
                <w:szCs w:val="22"/>
              </w:rPr>
            </w:r>
          </w:p>
          <w:p>
            <w:pPr>
              <w:spacing w:line="240" w:lineRule="auto"/>
              <w:ind w:firstLine="0"/>
              <w:rPr>
                <w:sz w:val="22"/>
                <w:szCs w:val="22"/>
              </w:rPr>
            </w:pPr>
            <w:r>
              <w:rPr>
                <w:sz w:val="22"/>
                <w:szCs w:val="22"/>
              </w:rPr>
              <w:t xml:space="preserve">• краткосрочный этап стационарной реабилитации:</w:t>
            </w:r>
            <w:r>
              <w:rPr>
                <w:sz w:val="22"/>
                <w:szCs w:val="22"/>
              </w:rPr>
            </w:r>
          </w:p>
          <w:p>
            <w:pPr>
              <w:spacing w:line="240" w:lineRule="auto"/>
              <w:ind w:firstLine="0"/>
              <w:rPr>
                <w:sz w:val="22"/>
                <w:szCs w:val="22"/>
              </w:rPr>
            </w:pPr>
            <w:r>
              <w:rPr>
                <w:sz w:val="22"/>
                <w:szCs w:val="22"/>
              </w:rPr>
              <w:t xml:space="preserve">БУ «Сургутская клиническая психоневрологическая больница» (25 койко-места);</w:t>
            </w:r>
            <w:r>
              <w:rPr>
                <w:sz w:val="22"/>
                <w:szCs w:val="22"/>
              </w:rPr>
            </w:r>
          </w:p>
          <w:p>
            <w:pPr>
              <w:spacing w:line="240" w:lineRule="auto"/>
              <w:ind w:firstLine="0"/>
              <w:rPr>
                <w:sz w:val="22"/>
                <w:szCs w:val="22"/>
              </w:rPr>
            </w:pPr>
            <w:r>
              <w:rPr>
                <w:sz w:val="22"/>
                <w:szCs w:val="22"/>
              </w:rPr>
              <w:t xml:space="preserve">БУ «Советская психоневрологическая больница» (3 койко-места в филиале учреждения в г. Урай);</w:t>
            </w:r>
            <w:r>
              <w:rPr>
                <w:sz w:val="22"/>
                <w:szCs w:val="22"/>
              </w:rPr>
            </w:r>
          </w:p>
          <w:p>
            <w:pPr>
              <w:spacing w:line="240" w:lineRule="auto"/>
              <w:ind w:firstLine="0"/>
              <w:rPr>
                <w:sz w:val="22"/>
                <w:szCs w:val="22"/>
              </w:rPr>
            </w:pPr>
            <w:r>
              <w:rPr>
                <w:sz w:val="22"/>
                <w:szCs w:val="22"/>
              </w:rPr>
              <w:t xml:space="preserve">БУ «Нижневартовская психоневрологическая больница» (25 койко-мест).</w:t>
            </w:r>
            <w:r>
              <w:rPr>
                <w:sz w:val="22"/>
                <w:szCs w:val="22"/>
              </w:rPr>
            </w:r>
          </w:p>
          <w:p>
            <w:pPr>
              <w:spacing w:line="240" w:lineRule="auto"/>
              <w:ind w:firstLine="0"/>
              <w:rPr>
                <w:sz w:val="22"/>
                <w:szCs w:val="22"/>
              </w:rPr>
            </w:pPr>
            <w:r>
              <w:rPr>
                <w:sz w:val="22"/>
                <w:szCs w:val="22"/>
              </w:rPr>
              <w:t xml:space="preserve">• этап стационарной </w:t>
            </w:r>
            <w:r>
              <w:rPr>
                <w:sz w:val="22"/>
                <w:szCs w:val="22"/>
              </w:rPr>
              <w:t xml:space="preserve">абилитации</w:t>
            </w:r>
            <w:r>
              <w:rPr>
                <w:sz w:val="22"/>
                <w:szCs w:val="22"/>
              </w:rPr>
              <w:t xml:space="preserve">-реабилитации осуществляется на базе КУ «Лемпинский наркологический реабилитационный центр» (50 койко-мест).</w:t>
            </w:r>
            <w:r>
              <w:rPr>
                <w:sz w:val="22"/>
                <w:szCs w:val="22"/>
              </w:rPr>
            </w:r>
          </w:p>
          <w:p>
            <w:pPr>
              <w:spacing w:line="240" w:lineRule="auto"/>
              <w:ind w:firstLine="0"/>
              <w:rPr>
                <w:sz w:val="22"/>
                <w:szCs w:val="22"/>
              </w:rPr>
            </w:pPr>
            <w:r>
              <w:rPr>
                <w:sz w:val="22"/>
                <w:szCs w:val="22"/>
              </w:rPr>
              <w:t xml:space="preserve">В автономном округе медицинская реабилитация наркологических больных осуществляется в стационарных и в амбулаторных условиях.</w:t>
            </w:r>
            <w:r>
              <w:rPr>
                <w:sz w:val="22"/>
                <w:szCs w:val="22"/>
              </w:rPr>
            </w:r>
          </w:p>
          <w:p>
            <w:pPr>
              <w:spacing w:line="240" w:lineRule="auto"/>
              <w:ind w:firstLine="0"/>
              <w:rPr>
                <w:sz w:val="22"/>
                <w:szCs w:val="22"/>
              </w:rPr>
            </w:pPr>
            <w:r>
              <w:rPr>
                <w:sz w:val="22"/>
                <w:szCs w:val="22"/>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r>
              <w:rPr>
                <w:sz w:val="22"/>
                <w:szCs w:val="22"/>
              </w:rPr>
              <w:t xml:space="preserve">мультидисциплинарной</w:t>
            </w:r>
            <w:r>
              <w:rPr>
                <w:sz w:val="22"/>
                <w:szCs w:val="22"/>
              </w:rPr>
              <w:t xml:space="preserve">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rPr>
                <w:sz w:val="22"/>
                <w:szCs w:val="22"/>
              </w:rPr>
            </w:r>
          </w:p>
          <w:p>
            <w:pPr>
              <w:spacing w:line="240" w:lineRule="auto"/>
              <w:ind w:firstLine="0"/>
              <w:rPr>
                <w:sz w:val="22"/>
                <w:szCs w:val="22"/>
              </w:rPr>
            </w:pPr>
            <w:r>
              <w:rPr>
                <w:sz w:val="22"/>
                <w:szCs w:val="22"/>
              </w:rPr>
              <w:t xml:space="preserve">Медицинская реабилитация в стационарных условиях оказывается с учетом принципа «разных потоков».</w:t>
            </w:r>
            <w:r>
              <w:rPr>
                <w:sz w:val="22"/>
                <w:szCs w:val="22"/>
              </w:rPr>
            </w:r>
          </w:p>
          <w:p>
            <w:pPr>
              <w:spacing w:line="240" w:lineRule="auto"/>
              <w:ind w:firstLine="0"/>
              <w:outlineLvl w:val="1"/>
              <w:rPr>
                <w:sz w:val="22"/>
                <w:szCs w:val="22"/>
              </w:rPr>
            </w:pPr>
            <w:r>
              <w:rPr>
                <w:sz w:val="22"/>
                <w:szCs w:val="22"/>
              </w:rPr>
              <w:t xml:space="preserve">Дополнительно, приказом Департамента здравоохранения ХМАО-Югры от 19.11.2025 № 07-П-1645 «О совершенствовании медицинской реабилитации лиц с наркологическими расстройствами на территории Ханты-Мансийского автономного округа – Югры» в бюдж</w:t>
            </w:r>
            <w:r>
              <w:rPr>
                <w:sz w:val="22"/>
                <w:szCs w:val="22"/>
              </w:rPr>
              <w:t xml:space="preserve">етном учреждении Ханты-Мансийского автономного округа – Югры «Советская психоневрологическая больница» предусмотрено обеспечить: организацию обособленного отделения медицинской реабилитации для лиц с наркологическими расстройствами в амбулаторных условиях.</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6</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w:t>
            </w:r>
            <w:r>
              <w:rPr>
                <w:rFonts w:ascii="Times New Roman" w:hAnsi="Times New Roman" w:cs="Times New Roman"/>
                <w:sz w:val="22"/>
                <w:szCs w:val="22"/>
              </w:rPr>
              <w:t xml:space="preserve">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По государственной программе автономного округа «Современное здравоохранение» в 2025 году в рамках Комплекса процессных мероприятий 14. «Организация оказания медицинской помощи населению Ханты-Мансийского автономного округа - Югры», приобретены:</w:t>
            </w:r>
            <w:r>
              <w:rPr>
                <w:sz w:val="22"/>
                <w:szCs w:val="22"/>
              </w:rPr>
            </w:r>
          </w:p>
          <w:p>
            <w:pPr>
              <w:spacing w:line="240" w:lineRule="auto"/>
              <w:ind w:firstLine="0"/>
              <w:outlineLvl w:val="1"/>
              <w:rPr>
                <w:sz w:val="22"/>
                <w:szCs w:val="22"/>
              </w:rPr>
            </w:pPr>
            <w:r>
              <w:rPr>
                <w:sz w:val="22"/>
                <w:szCs w:val="22"/>
              </w:rPr>
              <w:t xml:space="preserve">реагенты диагностические медицинские для определения психоактивных веществ на 13 видов в количестве 1 477 наборов; медицинский расходный материал (реактивы) для Системы капиллярного электрофореза многофункциональной </w:t>
            </w:r>
            <w:r>
              <w:rPr>
                <w:sz w:val="22"/>
                <w:szCs w:val="22"/>
              </w:rPr>
              <w:t xml:space="preserve">MiniCap</w:t>
            </w:r>
            <w:r>
              <w:rPr>
                <w:sz w:val="22"/>
                <w:szCs w:val="22"/>
              </w:rPr>
              <w:t xml:space="preserve"> в количестве 1 набор для проведения диагностики состоя</w:t>
            </w:r>
            <w:r>
              <w:rPr>
                <w:sz w:val="22"/>
                <w:szCs w:val="22"/>
              </w:rPr>
              <w:t xml:space="preserve">ний злоупотребления алкоголем. В рамках реализации мероприятий 18. Комплекса процессных мероприятий «Создание условий для оказания медицинской помощи населению. Укрепление и модернизация материально-технической базы медицинских организаций» приобретены: ме</w:t>
            </w:r>
            <w:r>
              <w:rPr>
                <w:sz w:val="22"/>
                <w:szCs w:val="22"/>
              </w:rPr>
              <w:t xml:space="preserve">дицинский расходный материал для лабораторных исследований в количестве 10 000 шт.; кровати медицинские больничные в количестве 40 шт., для оказания медицинской помощи наркологическим больным; расходный материал к медицинскому оборудованию в количестве 42 </w:t>
            </w:r>
            <w:r>
              <w:rPr>
                <w:sz w:val="22"/>
                <w:szCs w:val="22"/>
              </w:rPr>
              <w:t xml:space="preserve">усл.ед</w:t>
            </w:r>
            <w:r>
              <w:rPr>
                <w:sz w:val="22"/>
                <w:szCs w:val="22"/>
              </w:rPr>
              <w:t xml:space="preserve">.; химические реактивы для медицинского применения в количестве 40 </w:t>
            </w:r>
            <w:r>
              <w:rPr>
                <w:sz w:val="22"/>
                <w:szCs w:val="22"/>
              </w:rPr>
              <w:t xml:space="preserve">усл.ед</w:t>
            </w:r>
            <w:r>
              <w:rPr>
                <w:sz w:val="22"/>
                <w:szCs w:val="22"/>
              </w:rPr>
              <w:t xml:space="preserve">.; реагенты диагностические медицинские для определения психоактивных веществ</w:t>
            </w:r>
            <w:r>
              <w:rPr>
                <w:sz w:val="22"/>
                <w:szCs w:val="22"/>
              </w:rPr>
              <w:br/>
              <w:t xml:space="preserve">на 13 видов в количестве 850 наборов; медицинский расходный материал к техническому средству измерения количественного определения алкоголя в выдыхаемом </w:t>
            </w:r>
            <w:r>
              <w:rPr>
                <w:sz w:val="22"/>
                <w:szCs w:val="22"/>
              </w:rPr>
              <w:t xml:space="preserve">воздухе (мундштук одноразовый) в количестве 20 000 шт.; расходный материал для медицинского применения</w:t>
            </w:r>
            <w:r>
              <w:rPr>
                <w:sz w:val="22"/>
                <w:szCs w:val="22"/>
              </w:rPr>
              <w:br/>
              <w:t xml:space="preserve">в количестве 64 </w:t>
            </w:r>
            <w:r>
              <w:rPr>
                <w:sz w:val="22"/>
                <w:szCs w:val="22"/>
              </w:rPr>
              <w:t xml:space="preserve">уп</w:t>
            </w:r>
            <w:r>
              <w:rPr>
                <w:sz w:val="22"/>
                <w:szCs w:val="22"/>
              </w:rPr>
              <w:t xml:space="preserve">. Для лабораторных исследований; расходный материал (реагенты) для медицинского применения в количестве 34 </w:t>
            </w:r>
            <w:r>
              <w:rPr>
                <w:sz w:val="22"/>
                <w:szCs w:val="22"/>
              </w:rPr>
              <w:t xml:space="preserve">усл.ед</w:t>
            </w:r>
            <w:r>
              <w:rPr>
                <w:sz w:val="22"/>
                <w:szCs w:val="22"/>
              </w:rPr>
              <w:t xml:space="preserve">. для химико-токсикологического оборудования; медицинский расходный материал (реактивов) для Системы капиллярного электрофореза многофункциональной </w:t>
            </w:r>
            <w:r>
              <w:rPr>
                <w:sz w:val="22"/>
                <w:szCs w:val="22"/>
              </w:rPr>
              <w:t xml:space="preserve">MiniCap</w:t>
            </w:r>
            <w:r>
              <w:rPr>
                <w:sz w:val="22"/>
                <w:szCs w:val="22"/>
              </w:rPr>
              <w:t xml:space="preserve"> в количестве 2-х наборов для проведения диагностики состояний злоупотребления алкоголем.</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7</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На территории автономного округа приказом Депздрава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 выстроена трёхуров</w:t>
            </w:r>
            <w:r>
              <w:rPr>
                <w:sz w:val="22"/>
                <w:szCs w:val="22"/>
              </w:rPr>
              <w:t xml:space="preserve">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w:t>
            </w:r>
            <w:r>
              <w:rPr>
                <w:sz w:val="22"/>
                <w:szCs w:val="22"/>
              </w:rPr>
              <w:t xml:space="preserve">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Югры: БУ «Сургутская клиническая психоневрол</w:t>
            </w:r>
            <w:r>
              <w:rPr>
                <w:sz w:val="22"/>
                <w:szCs w:val="22"/>
              </w:rPr>
              <w:t xml:space="preserve">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w:t>
            </w:r>
            <w:r>
              <w:rPr>
                <w:sz w:val="22"/>
                <w:szCs w:val="22"/>
              </w:rPr>
              <w:t xml:space="preserve">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 Кроме того, сбор статистической информации за 2025 г., осуществлялся по новой еди</w:t>
            </w:r>
            <w:r>
              <w:rPr>
                <w:sz w:val="22"/>
                <w:szCs w:val="22"/>
              </w:rPr>
              <w:t xml:space="preserve">ной форме федерального статистического наблюдения, утвержденной приказом Росстата от 12.12.2025 № 709 «Об утверждении формы федерального статистического наблюдения № 11 «Сведения о заболеваниях наркологическими расстройствами» и указаний по ее заполнению».</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8</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Специалисты наркологической службы проходят повышение квалификации и обучение в федеральных центрах, на портале непрерывн</w:t>
            </w:r>
            <w:r>
              <w:rPr>
                <w:sz w:val="22"/>
                <w:szCs w:val="22"/>
              </w:rPr>
              <w:t xml:space="preserve">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w:t>
            </w:r>
            <w:r>
              <w:rPr>
                <w:sz w:val="22"/>
                <w:szCs w:val="22"/>
              </w:rPr>
              <w:t xml:space="preserve">ономного округа. В сентябре 2025 года, обучавшиеся по программе 2-х годичной целевой подготовки кадров по специальности «психиатрия-наркология», 2 ординатора трудоустроены в БУ «Сургутская клиническая психоневрологическая больница». В 2025 году заявлено 2 </w:t>
            </w:r>
            <w:r>
              <w:rPr>
                <w:sz w:val="22"/>
                <w:szCs w:val="22"/>
              </w:rPr>
              <w:t xml:space="preserve">человека по программе целевой подготовки кадров по специальности «психиатрия-наркология» в БУ ВО «Сургутский государственный университет».</w:t>
            </w:r>
            <w:r>
              <w:rPr>
                <w:sz w:val="22"/>
                <w:szCs w:val="22"/>
              </w:rPr>
            </w:r>
          </w:p>
          <w:p>
            <w:pPr>
              <w:spacing w:line="240" w:lineRule="auto"/>
              <w:ind w:firstLine="0"/>
              <w:outlineLvl w:val="1"/>
              <w:rPr>
                <w:sz w:val="22"/>
                <w:szCs w:val="22"/>
              </w:rPr>
            </w:pPr>
            <w:r>
              <w:rPr>
                <w:sz w:val="22"/>
                <w:szCs w:val="22"/>
              </w:rPr>
              <w:t xml:space="preserve">Также в 2025 году трудоустроен 1 врач-психиатр-нарколог</w:t>
            </w:r>
            <w:r>
              <w:rPr>
                <w:sz w:val="22"/>
                <w:szCs w:val="22"/>
              </w:rPr>
              <w:br/>
              <w:t xml:space="preserve">в БУ «Когалымская городская больница».</w:t>
            </w:r>
            <w:r>
              <w:rPr>
                <w:sz w:val="22"/>
                <w:szCs w:val="22"/>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9</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r>
              <w:rPr>
                <w:rFonts w:ascii="Times New Roman" w:hAnsi="Times New Roman" w:cs="Times New Roman"/>
                <w:sz w:val="22"/>
                <w:szCs w:val="22"/>
              </w:rPr>
            </w:r>
          </w:p>
        </w:tc>
        <w:tc>
          <w:tcPr>
            <w:tcW w:w="6138" w:type="dxa"/>
            <w:noWrap w:val="false"/>
            <w:textDirection w:val="lrTb"/>
          </w:tcPr>
          <w:p>
            <w:pPr>
              <w:pStyle w:val="1646"/>
              <w:jc w:val="both"/>
              <w:rPr>
                <w:rFonts w:ascii="Times New Roman" w:hAnsi="Times New Roman" w:cs="Times New Roman"/>
              </w:rPr>
            </w:pPr>
            <w:r>
              <w:rPr>
                <w:rFonts w:ascii="Times New Roman" w:hAnsi="Times New Roman" w:cs="Times New Roman"/>
              </w:rPr>
              <w:t xml:space="preserve">По окончанию ординатуры по специальности «психиатрия-наркология», врачи-специалис</w:t>
            </w:r>
            <w:r>
              <w:rPr>
                <w:rFonts w:ascii="Times New Roman" w:hAnsi="Times New Roman" w:cs="Times New Roman"/>
              </w:rPr>
              <w:t xml:space="preserve">ты трудоустраиваются в медицинские организации Ханты-Мансийского автономного округа - Югры. 2 ординатора трудоустроены в БУ «Сургутская клиническая психоневрологическая больница», 1 врач-психиатр-нарколог трудоустроен в БУ «Когалымская городская больница».</w:t>
            </w:r>
            <w:r>
              <w:rPr>
                <w:rFonts w:ascii="Times New Roman" w:hAnsi="Times New Roman" w:cs="Times New Roman"/>
              </w:rPr>
            </w:r>
          </w:p>
        </w:tc>
      </w:tr>
      <w:tr>
        <w:trPr/>
        <w:tc>
          <w:tcPr>
            <w:tcW w:w="589" w:type="dxa"/>
            <w:noWrap w:val="false"/>
            <w:textDirection w:val="lrTb"/>
          </w:tcPr>
          <w:p>
            <w:pPr>
              <w:spacing w:line="240" w:lineRule="auto"/>
              <w:ind w:firstLine="0"/>
              <w:jc w:val="center"/>
              <w:outlineLvl w:val="1"/>
              <w:rPr>
                <w:sz w:val="22"/>
                <w:szCs w:val="22"/>
              </w:rPr>
            </w:pPr>
            <w:r>
              <w:rPr>
                <w:sz w:val="22"/>
                <w:szCs w:val="22"/>
              </w:rPr>
              <w:t xml:space="preserve">10</w:t>
            </w:r>
            <w:r>
              <w:rPr>
                <w:sz w:val="22"/>
                <w:szCs w:val="22"/>
              </w:rPr>
            </w:r>
          </w:p>
        </w:tc>
        <w:tc>
          <w:tcPr>
            <w:tcW w:w="2780" w:type="dxa"/>
            <w:noWrap w:val="false"/>
            <w:textDirection w:val="lrTb"/>
          </w:tcPr>
          <w:p>
            <w:pPr>
              <w:pStyle w:val="1612"/>
              <w:ind w:firstLine="0"/>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rPr>
                <w:rFonts w:ascii="Times New Roman" w:hAnsi="Times New Roman" w:cs="Times New Roman"/>
                <w:sz w:val="22"/>
                <w:szCs w:val="22"/>
              </w:rPr>
            </w:r>
          </w:p>
        </w:tc>
        <w:tc>
          <w:tcPr>
            <w:tcW w:w="6138" w:type="dxa"/>
            <w:noWrap w:val="false"/>
            <w:textDirection w:val="lrTb"/>
          </w:tcPr>
          <w:p>
            <w:pPr>
              <w:spacing w:line="240" w:lineRule="auto"/>
              <w:ind w:firstLine="0"/>
              <w:outlineLvl w:val="1"/>
              <w:rPr>
                <w:sz w:val="22"/>
                <w:szCs w:val="22"/>
              </w:rPr>
            </w:pPr>
            <w:r>
              <w:rPr>
                <w:sz w:val="22"/>
                <w:szCs w:val="22"/>
              </w:rPr>
              <w:t xml:space="preserve">Единовременные выплаты предоставляются при приёме</w:t>
            </w:r>
            <w:r>
              <w:rPr>
                <w:sz w:val="22"/>
                <w:szCs w:val="22"/>
              </w:rPr>
              <w:br/>
              <w:t xml:space="preserve">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w:t>
            </w:r>
            <w:r>
              <w:rPr>
                <w:sz w:val="22"/>
                <w:szCs w:val="22"/>
              </w:rPr>
              <w:t xml:space="preserve">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r>
              <w:rPr>
                <w:sz w:val="22"/>
                <w:szCs w:val="22"/>
              </w:rPr>
            </w:r>
          </w:p>
        </w:tc>
      </w:tr>
      <w:tr>
        <w:trPr/>
        <w:tc>
          <w:tcPr>
            <w:tcW w:w="589" w:type="dxa"/>
            <w:noWrap w:val="false"/>
            <w:textDirection w:val="lrTb"/>
          </w:tcPr>
          <w:p>
            <w:pPr>
              <w:spacing w:line="242" w:lineRule="auto"/>
              <w:ind w:firstLine="0"/>
              <w:jc w:val="center"/>
              <w:outlineLvl w:val="1"/>
              <w:rPr>
                <w:sz w:val="22"/>
                <w:szCs w:val="22"/>
              </w:rPr>
            </w:pPr>
            <w:r>
              <w:rPr>
                <w:sz w:val="22"/>
                <w:szCs w:val="22"/>
              </w:rPr>
              <w:t xml:space="preserve">11</w:t>
            </w:r>
            <w:r>
              <w:rPr>
                <w:sz w:val="22"/>
                <w:szCs w:val="22"/>
              </w:rPr>
            </w:r>
          </w:p>
        </w:tc>
        <w:tc>
          <w:tcPr>
            <w:tcW w:w="2780" w:type="dxa"/>
            <w:noWrap w:val="false"/>
            <w:textDirection w:val="lrTb"/>
          </w:tcPr>
          <w:p>
            <w:pPr>
              <w:pStyle w:val="1612"/>
              <w:spacing w:line="242" w:lineRule="auto"/>
              <w:ind w:firstLine="0"/>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rPr>
                <w:rFonts w:ascii="Times New Roman" w:hAnsi="Times New Roman" w:cs="Times New Roman"/>
                <w:sz w:val="22"/>
                <w:szCs w:val="22"/>
              </w:rPr>
            </w:r>
          </w:p>
        </w:tc>
        <w:tc>
          <w:tcPr>
            <w:tcW w:w="6138" w:type="dxa"/>
            <w:noWrap w:val="false"/>
            <w:textDirection w:val="lrTb"/>
          </w:tcPr>
          <w:p>
            <w:pPr>
              <w:spacing w:line="242" w:lineRule="auto"/>
              <w:ind w:firstLine="0"/>
              <w:outlineLvl w:val="1"/>
              <w:rPr>
                <w:sz w:val="22"/>
                <w:szCs w:val="22"/>
              </w:rPr>
            </w:pPr>
            <w:r>
              <w:rPr>
                <w:sz w:val="22"/>
                <w:szCs w:val="22"/>
              </w:rPr>
              <w:t xml:space="preserve">Мероприятия по</w:t>
            </w:r>
            <w:r>
              <w:rPr>
                <w:sz w:val="22"/>
                <w:szCs w:val="22"/>
              </w:rPr>
              <w:t xml:space="preserve"> профилактике незаконного потребления НС и ПАВ,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rPr>
                <w:sz w:val="22"/>
                <w:szCs w:val="22"/>
              </w:rPr>
            </w:r>
          </w:p>
          <w:p>
            <w:pPr>
              <w:spacing w:line="242" w:lineRule="auto"/>
              <w:ind w:firstLine="0"/>
              <w:outlineLvl w:val="1"/>
              <w:rPr>
                <w:sz w:val="22"/>
                <w:szCs w:val="22"/>
              </w:rPr>
            </w:pPr>
            <w:r>
              <w:rPr>
                <w:sz w:val="22"/>
                <w:szCs w:val="22"/>
              </w:rPr>
              <w:t xml:space="preserve">Практическая направленность профилактических действий</w:t>
            </w:r>
            <w:r>
              <w:rPr>
                <w:sz w:val="22"/>
                <w:szCs w:val="22"/>
              </w:rPr>
              <w:br/>
              <w:t xml:space="preserve">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r>
              <w:rPr>
                <w:sz w:val="22"/>
                <w:szCs w:val="22"/>
              </w:rPr>
            </w:r>
          </w:p>
          <w:p>
            <w:pPr>
              <w:spacing w:line="242" w:lineRule="auto"/>
              <w:ind w:firstLine="0"/>
              <w:outlineLvl w:val="1"/>
              <w:rPr>
                <w:sz w:val="22"/>
                <w:szCs w:val="22"/>
              </w:rPr>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rPr>
                <w:sz w:val="22"/>
                <w:szCs w:val="22"/>
              </w:rPr>
            </w:r>
          </w:p>
          <w:p>
            <w:pPr>
              <w:spacing w:line="242" w:lineRule="auto"/>
              <w:ind w:firstLine="0"/>
              <w:outlineLvl w:val="1"/>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ПАВ;</w:t>
            </w:r>
            <w:r>
              <w:rPr>
                <w:sz w:val="22"/>
                <w:szCs w:val="22"/>
              </w:rPr>
            </w:r>
          </w:p>
          <w:p>
            <w:pPr>
              <w:spacing w:line="242" w:lineRule="auto"/>
              <w:ind w:firstLine="0"/>
              <w:outlineLvl w:val="1"/>
              <w:rPr>
                <w:sz w:val="22"/>
                <w:szCs w:val="22"/>
              </w:rPr>
            </w:pPr>
            <w:r>
              <w:rPr>
                <w:sz w:val="22"/>
                <w:szCs w:val="22"/>
              </w:rPr>
              <w:t xml:space="preserve">- развитие системы раннего выявления незаконных потребителей наркотиков и других ПАВ;</w:t>
            </w:r>
            <w:r>
              <w:rPr>
                <w:sz w:val="22"/>
                <w:szCs w:val="22"/>
              </w:rPr>
            </w:r>
          </w:p>
          <w:p>
            <w:pPr>
              <w:spacing w:line="242" w:lineRule="auto"/>
              <w:ind w:firstLine="0"/>
              <w:outlineLvl w:val="1"/>
              <w:rPr>
                <w:sz w:val="22"/>
                <w:szCs w:val="22"/>
              </w:rPr>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rPr>
                <w:sz w:val="22"/>
                <w:szCs w:val="22"/>
              </w:rPr>
            </w:r>
          </w:p>
          <w:p>
            <w:pPr>
              <w:spacing w:line="242" w:lineRule="auto"/>
              <w:ind w:firstLine="0"/>
              <w:outlineLvl w:val="1"/>
              <w:rPr>
                <w:sz w:val="22"/>
                <w:szCs w:val="22"/>
              </w:rPr>
            </w:pPr>
            <w:r>
              <w:rPr>
                <w:sz w:val="22"/>
                <w:szCs w:val="22"/>
              </w:rPr>
              <w:t xml:space="preserve">- организация профилактической работы в организованных (образовательных) коллективах;</w:t>
            </w:r>
            <w:r>
              <w:rPr>
                <w:sz w:val="22"/>
                <w:szCs w:val="22"/>
              </w:rPr>
            </w:r>
          </w:p>
          <w:p>
            <w:pPr>
              <w:spacing w:line="242" w:lineRule="auto"/>
              <w:ind w:firstLine="0"/>
              <w:outlineLvl w:val="1"/>
              <w:rPr>
                <w:sz w:val="22"/>
                <w:szCs w:val="22"/>
              </w:rPr>
            </w:pPr>
            <w:r>
              <w:rPr>
                <w:sz w:val="22"/>
                <w:szCs w:val="22"/>
              </w:rPr>
              <w:t xml:space="preserve">- формирование психологического иммунитета к потреблению наркотиков, и других ПАВ у детей школьного возраста, их родителей и учителей;</w:t>
            </w:r>
            <w:r>
              <w:rPr>
                <w:sz w:val="22"/>
                <w:szCs w:val="22"/>
              </w:rPr>
            </w:r>
          </w:p>
          <w:p>
            <w:pPr>
              <w:spacing w:line="242" w:lineRule="auto"/>
              <w:ind w:firstLine="0"/>
              <w:outlineLvl w:val="1"/>
              <w:rPr>
                <w:sz w:val="22"/>
                <w:szCs w:val="22"/>
              </w:rPr>
            </w:pPr>
            <w:r>
              <w:rPr>
                <w:sz w:val="22"/>
                <w:szCs w:val="22"/>
              </w:rPr>
              <w:t xml:space="preserve">- формирование навыков здорового образа жизни.</w:t>
            </w:r>
            <w:r>
              <w:rPr>
                <w:sz w:val="22"/>
                <w:szCs w:val="22"/>
              </w:rPr>
            </w:r>
          </w:p>
          <w:p>
            <w:pPr>
              <w:spacing w:line="242" w:lineRule="auto"/>
              <w:ind w:firstLine="0"/>
              <w:outlineLvl w:val="1"/>
              <w:rPr>
                <w:sz w:val="22"/>
                <w:szCs w:val="22"/>
              </w:rPr>
            </w:pPr>
            <w:r>
              <w:rPr>
                <w:sz w:val="22"/>
                <w:szCs w:val="22"/>
              </w:rPr>
              <w:t xml:space="preserve">Кроме того, реализуются следующие перспективные мероприятия в системе здравоохранения автономного округа:</w:t>
            </w:r>
            <w:r>
              <w:rPr>
                <w:sz w:val="22"/>
                <w:szCs w:val="22"/>
              </w:rPr>
            </w:r>
          </w:p>
          <w:p>
            <w:pPr>
              <w:spacing w:line="242" w:lineRule="auto"/>
              <w:ind w:firstLine="0"/>
              <w:outlineLvl w:val="1"/>
              <w:rPr>
                <w:sz w:val="22"/>
                <w:szCs w:val="22"/>
              </w:rPr>
            </w:pPr>
            <w:r>
              <w:rPr>
                <w:sz w:val="22"/>
                <w:szCs w:val="22"/>
              </w:rPr>
              <w:t xml:space="preserve">- единая система контроля качества химико-токсикологических исследований по определению ПАВ, при методической поддержке федеральных научно-исследовательских центров в данной области;</w:t>
            </w:r>
            <w:r>
              <w:rPr>
                <w:sz w:val="22"/>
                <w:szCs w:val="22"/>
              </w:rPr>
            </w:r>
          </w:p>
          <w:p>
            <w:pPr>
              <w:spacing w:line="242" w:lineRule="auto"/>
              <w:ind w:firstLine="0"/>
              <w:outlineLvl w:val="1"/>
              <w:rPr>
                <w:sz w:val="22"/>
                <w:szCs w:val="22"/>
              </w:rPr>
            </w:pPr>
            <w:r>
              <w:rPr>
                <w:sz w:val="22"/>
                <w:szCs w:val="22"/>
              </w:rPr>
              <w:t xml:space="preserve">- формирование системы профилактического медицинского 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2"/>
                <w:szCs w:val="22"/>
              </w:rPr>
            </w:r>
          </w:p>
          <w:p>
            <w:pPr>
              <w:spacing w:line="242" w:lineRule="auto"/>
              <w:ind w:firstLine="0"/>
              <w:rPr>
                <w:sz w:val="22"/>
                <w:szCs w:val="22"/>
              </w:rPr>
            </w:pPr>
            <w:r>
              <w:rPr>
                <w:sz w:val="22"/>
                <w:szCs w:val="22"/>
              </w:rPr>
              <w:t xml:space="preserve">- телемедицинские консультации.</w:t>
            </w:r>
            <w:r>
              <w:rPr>
                <w:sz w:val="22"/>
                <w:szCs w:val="22"/>
              </w:rPr>
            </w:r>
          </w:p>
        </w:tc>
      </w:tr>
      <w:tr>
        <w:trPr/>
        <w:tc>
          <w:tcPr>
            <w:tcW w:w="589" w:type="dxa"/>
            <w:noWrap w:val="false"/>
            <w:textDirection w:val="lrTb"/>
          </w:tcPr>
          <w:p>
            <w:pPr>
              <w:spacing w:line="242" w:lineRule="auto"/>
              <w:ind w:firstLine="0"/>
              <w:jc w:val="center"/>
              <w:outlineLvl w:val="1"/>
              <w:rPr>
                <w:sz w:val="22"/>
                <w:szCs w:val="22"/>
              </w:rPr>
            </w:pPr>
            <w:r>
              <w:rPr>
                <w:sz w:val="22"/>
                <w:szCs w:val="22"/>
              </w:rPr>
              <w:t xml:space="preserve">12</w:t>
            </w:r>
            <w:r>
              <w:rPr>
                <w:sz w:val="22"/>
                <w:szCs w:val="22"/>
              </w:rPr>
            </w:r>
          </w:p>
        </w:tc>
        <w:tc>
          <w:tcPr>
            <w:tcW w:w="2780" w:type="dxa"/>
            <w:noWrap w:val="false"/>
            <w:textDirection w:val="lrTb"/>
          </w:tcPr>
          <w:p>
            <w:pPr>
              <w:pStyle w:val="1612"/>
              <w:spacing w:line="242" w:lineRule="auto"/>
              <w:ind w:firstLine="0"/>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rPr>
                <w:rFonts w:ascii="Times New Roman" w:hAnsi="Times New Roman" w:cs="Times New Roman"/>
                <w:sz w:val="22"/>
                <w:szCs w:val="22"/>
              </w:rPr>
            </w:r>
          </w:p>
        </w:tc>
        <w:tc>
          <w:tcPr>
            <w:tcW w:w="6138" w:type="dxa"/>
            <w:noWrap w:val="false"/>
            <w:textDirection w:val="lrTb"/>
          </w:tcPr>
          <w:p>
            <w:pPr>
              <w:spacing w:line="242" w:lineRule="auto"/>
              <w:ind w:firstLine="0"/>
              <w:outlineLvl w:val="1"/>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r>
              <w:rPr>
                <w:sz w:val="22"/>
                <w:szCs w:val="22"/>
              </w:rPr>
            </w:r>
          </w:p>
          <w:p>
            <w:pPr>
              <w:spacing w:line="242" w:lineRule="auto"/>
              <w:ind w:firstLine="0"/>
              <w:outlineLvl w:val="1"/>
              <w:rPr>
                <w:sz w:val="22"/>
                <w:szCs w:val="22"/>
              </w:rPr>
            </w:pPr>
            <w:r>
              <w:rPr>
                <w:sz w:val="22"/>
                <w:szCs w:val="22"/>
              </w:rPr>
              <w:t xml:space="preserve">Профилактическая работа со взрослым населением, в том числе с группой повышенного риска (ПИН/ПАВ), осуществляется по следующим темам:</w:t>
            </w:r>
            <w:r>
              <w:rPr>
                <w:sz w:val="22"/>
                <w:szCs w:val="22"/>
              </w:rPr>
            </w:r>
          </w:p>
          <w:p>
            <w:pPr>
              <w:spacing w:line="242" w:lineRule="auto"/>
              <w:ind w:firstLine="0"/>
              <w:outlineLvl w:val="1"/>
              <w:rPr>
                <w:sz w:val="22"/>
                <w:szCs w:val="22"/>
              </w:rPr>
            </w:pPr>
            <w:r>
              <w:rPr>
                <w:sz w:val="22"/>
                <w:szCs w:val="22"/>
              </w:rPr>
              <w:t xml:space="preserve">1.</w:t>
            </w:r>
            <w:r>
              <w:rPr>
                <w:sz w:val="22"/>
                <w:szCs w:val="22"/>
              </w:rPr>
              <w:tab/>
              <w:t xml:space="preserve">«Профилактика ВИЧ» для трудовых коллективов, родителей, мигрантов, осужденных, потребителей ПАВ, ПИН.</w:t>
            </w:r>
            <w:r>
              <w:rPr>
                <w:sz w:val="22"/>
                <w:szCs w:val="22"/>
              </w:rPr>
            </w:r>
          </w:p>
          <w:p>
            <w:pPr>
              <w:spacing w:line="242" w:lineRule="auto"/>
              <w:ind w:firstLine="0"/>
              <w:outlineLvl w:val="1"/>
              <w:rPr>
                <w:sz w:val="22"/>
                <w:szCs w:val="22"/>
              </w:rPr>
            </w:pPr>
            <w:r>
              <w:rPr>
                <w:sz w:val="22"/>
                <w:szCs w:val="22"/>
              </w:rPr>
              <w:t xml:space="preserve">2.</w:t>
            </w:r>
            <w:r>
              <w:rPr>
                <w:sz w:val="22"/>
                <w:szCs w:val="22"/>
              </w:rPr>
              <w:tab/>
              <w:t xml:space="preserve">«На страже своего здоровья» для призывников и военнослужащих.</w:t>
            </w:r>
            <w:r>
              <w:rPr>
                <w:sz w:val="22"/>
                <w:szCs w:val="22"/>
              </w:rPr>
            </w:r>
          </w:p>
          <w:p>
            <w:pPr>
              <w:spacing w:line="242" w:lineRule="auto"/>
              <w:ind w:firstLine="0"/>
              <w:outlineLvl w:val="1"/>
              <w:rPr>
                <w:sz w:val="22"/>
                <w:szCs w:val="22"/>
              </w:rPr>
            </w:pPr>
            <w:r>
              <w:rPr>
                <w:sz w:val="22"/>
                <w:szCs w:val="22"/>
              </w:rPr>
              <w:t xml:space="preserve">3.</w:t>
            </w:r>
            <w:r>
              <w:rPr>
                <w:sz w:val="22"/>
                <w:szCs w:val="22"/>
              </w:rPr>
              <w:tab/>
              <w:t xml:space="preserve">«Защити своего ребенка» для беременных, обратившихся в женские консультации.</w:t>
            </w:r>
            <w:r>
              <w:rPr>
                <w:sz w:val="22"/>
                <w:szCs w:val="22"/>
              </w:rPr>
            </w:r>
          </w:p>
          <w:p>
            <w:pPr>
              <w:spacing w:line="242" w:lineRule="auto"/>
              <w:ind w:firstLine="0"/>
              <w:outlineLvl w:val="1"/>
              <w:rPr>
                <w:sz w:val="22"/>
                <w:szCs w:val="22"/>
              </w:rPr>
            </w:pPr>
            <w:r>
              <w:rPr>
                <w:sz w:val="22"/>
                <w:szCs w:val="22"/>
              </w:rPr>
              <w:t xml:space="preserve">За 2025 год проведено 1 263 профилактических мероприятия со</w:t>
            </w:r>
            <w:r>
              <w:rPr>
                <w:sz w:val="22"/>
                <w:szCs w:val="22"/>
              </w:rPr>
              <w:t xml:space="preserve"> взрослым населением, в том числе с группой повышенного риска (ПИН/ПАВ), количество участников 43 018 человек, в 2024 году – 1 148 мероприятий, число участников 42 010 человек. Проведено в 2025 году 386 мероприятий с молодежью (учащиеся, студенты), направл</w:t>
            </w:r>
            <w:r>
              <w:rPr>
                <w:sz w:val="22"/>
                <w:szCs w:val="22"/>
              </w:rPr>
              <w:t xml:space="preserve">енных на профилактику инъекционного потребления наркотических веществ как фактор рискованного поведения в отношение заражения ВИЧ-инфекцией. Количество участников 25 012 человек. В 2024 году проведено 374 мероприятия, количество участников 26 556 человек. </w:t>
            </w:r>
            <w:r>
              <w:rPr>
                <w:sz w:val="22"/>
                <w:szCs w:val="22"/>
              </w:rPr>
            </w:r>
          </w:p>
          <w:p>
            <w:pPr>
              <w:spacing w:line="242" w:lineRule="auto"/>
              <w:ind w:firstLine="0"/>
              <w:outlineLvl w:val="1"/>
              <w:rPr>
                <w:sz w:val="22"/>
                <w:szCs w:val="22"/>
              </w:rPr>
            </w:pPr>
            <w:r>
              <w:rPr>
                <w:sz w:val="22"/>
                <w:szCs w:val="22"/>
              </w:rPr>
              <w:t xml:space="preserve">С целью профилактики з</w:t>
            </w:r>
            <w:r>
              <w:rPr>
                <w:sz w:val="22"/>
                <w:szCs w:val="22"/>
              </w:rPr>
              <w:t xml:space="preserve">ависимого поведения для диспансерной группы и повышения приверженности лечению в 2025 году проведено 133 занятия Школа пациента, участников – 2018. В 2024 году 126 занятий, 1 609 участников. По итогам 2025 года парентеральный путь инфицирования, связанный </w:t>
            </w:r>
            <w:r>
              <w:rPr>
                <w:sz w:val="22"/>
                <w:szCs w:val="22"/>
              </w:rPr>
              <w:t xml:space="preserve">с употреблением наркотических веществ, установлен у 50 ВИЧ-инфицированных или 10,2% от всех впервые выявленных случаев ВИЧ-инфекции. Среди лиц, инфицированных наркотическим путем, отмечаются случаи как систематического, так и эпизодического употребления на</w:t>
            </w:r>
            <w:r>
              <w:rPr>
                <w:sz w:val="22"/>
                <w:szCs w:val="22"/>
              </w:rPr>
              <w:t xml:space="preserve">ркотических веществ различными способами. Всем пациентам с впервые установленным диагнозом ВИЧ-инфекция и наличием эпизодов употребления ПАВ предлагается самостоятельно обратиться к врачу психиатру-наркологу для лечения своей зависимости. В 2025 году на ан</w:t>
            </w:r>
            <w:r>
              <w:rPr>
                <w:sz w:val="22"/>
                <w:szCs w:val="22"/>
              </w:rPr>
              <w:t xml:space="preserve">титела к ВИЧ по коду 102 (больные с подозрением или подтвержденным диагнозом «наркомания») в Югре было обследовано 329 человек, случаев выявления ВИЧ – 0, по коду 102/а (лица, употребляющие ПАВ) обследовано 4 214 человек, выявлено наличие ВИЧ у 18 человек.</w:t>
            </w:r>
            <w:r>
              <w:rPr>
                <w:sz w:val="22"/>
                <w:szCs w:val="22"/>
              </w:rPr>
            </w:r>
          </w:p>
        </w:tc>
      </w:tr>
      <w:tr>
        <w:trPr/>
        <w:tc>
          <w:tcPr>
            <w:tcW w:w="589" w:type="dxa"/>
            <w:noWrap w:val="false"/>
            <w:textDirection w:val="lrTb"/>
          </w:tcPr>
          <w:p>
            <w:pPr>
              <w:spacing w:line="242" w:lineRule="auto"/>
              <w:ind w:firstLine="0"/>
              <w:jc w:val="center"/>
              <w:outlineLvl w:val="1"/>
              <w:rPr>
                <w:sz w:val="22"/>
                <w:szCs w:val="22"/>
              </w:rPr>
            </w:pPr>
            <w:r>
              <w:rPr>
                <w:sz w:val="22"/>
                <w:szCs w:val="22"/>
              </w:rPr>
              <w:t xml:space="preserve">13</w:t>
            </w:r>
            <w:r>
              <w:rPr>
                <w:sz w:val="22"/>
                <w:szCs w:val="22"/>
              </w:rPr>
            </w:r>
          </w:p>
        </w:tc>
        <w:tc>
          <w:tcPr>
            <w:tcW w:w="2780" w:type="dxa"/>
            <w:noWrap w:val="false"/>
            <w:textDirection w:val="lrTb"/>
          </w:tcPr>
          <w:p>
            <w:pPr>
              <w:pStyle w:val="1612"/>
              <w:spacing w:line="242" w:lineRule="auto"/>
              <w:ind w:firstLine="0"/>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rPr>
                <w:rFonts w:ascii="Times New Roman" w:hAnsi="Times New Roman" w:cs="Times New Roman"/>
                <w:sz w:val="22"/>
                <w:szCs w:val="22"/>
              </w:rPr>
            </w:r>
          </w:p>
        </w:tc>
        <w:tc>
          <w:tcPr>
            <w:tcW w:w="6138" w:type="dxa"/>
            <w:noWrap w:val="false"/>
            <w:textDirection w:val="lrTb"/>
          </w:tcPr>
          <w:p>
            <w:pPr>
              <w:spacing w:line="242" w:lineRule="auto"/>
              <w:ind w:firstLine="0"/>
              <w:outlineLvl w:val="1"/>
              <w:rPr>
                <w:sz w:val="22"/>
                <w:szCs w:val="22"/>
              </w:rPr>
            </w:pPr>
            <w:r>
              <w:rPr>
                <w:sz w:val="22"/>
                <w:szCs w:val="22"/>
              </w:rPr>
              <w:t xml:space="preserve">Осуществляются мероприятия по приобретению современных лекарственных препаратов и расходных материалов, диагнос</w:t>
            </w:r>
            <w:r>
              <w:rPr>
                <w:sz w:val="22"/>
                <w:szCs w:val="22"/>
              </w:rPr>
              <w:t xml:space="preserve">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w:t>
            </w:r>
            <w:r>
              <w:rPr>
                <w:sz w:val="22"/>
                <w:szCs w:val="22"/>
              </w:rPr>
              <w:t xml:space="preserve">я, предусмотренным порядком оказания медицинской помощи больным туберкулезом. Обеспечивается деятельность (оказания услуг, выполнения работ) государственных учреждений по профилю «фтизиатрия». Охват профилактическими осмотрами на туберкулез за 2025 год сос</w:t>
            </w:r>
            <w:r>
              <w:rPr>
                <w:sz w:val="22"/>
                <w:szCs w:val="22"/>
              </w:rPr>
              <w:t xml:space="preserve">тавил 75,0% от населения автономного округа (2024 год – 73,0%).  При проверочных обследованиях выявлено 238 больных с активным туберкулезом (2024 год – 294), удельный вес больных, выявленных при проверочных обследованиях, составил 64,9% (2024 год – 65.0%).</w:t>
            </w:r>
            <w:r>
              <w:rPr>
                <w:sz w:val="22"/>
                <w:szCs w:val="22"/>
              </w:rPr>
            </w:r>
          </w:p>
        </w:tc>
      </w:tr>
      <w:tr>
        <w:trPr/>
        <w:tc>
          <w:tcPr>
            <w:tcW w:w="589" w:type="dxa"/>
            <w:noWrap w:val="false"/>
            <w:textDirection w:val="lrTb"/>
          </w:tcPr>
          <w:p>
            <w:pPr>
              <w:spacing w:line="242" w:lineRule="auto"/>
              <w:ind w:firstLine="0"/>
              <w:jc w:val="center"/>
              <w:outlineLvl w:val="1"/>
              <w:rPr>
                <w:sz w:val="22"/>
                <w:szCs w:val="22"/>
              </w:rPr>
            </w:pPr>
            <w:r>
              <w:rPr>
                <w:sz w:val="22"/>
                <w:szCs w:val="22"/>
              </w:rPr>
              <w:t xml:space="preserve">14</w:t>
            </w:r>
            <w:r>
              <w:rPr>
                <w:sz w:val="22"/>
                <w:szCs w:val="22"/>
              </w:rPr>
            </w:r>
          </w:p>
        </w:tc>
        <w:tc>
          <w:tcPr>
            <w:tcW w:w="2780" w:type="dxa"/>
            <w:noWrap w:val="false"/>
            <w:textDirection w:val="lrTb"/>
          </w:tcPr>
          <w:p>
            <w:pPr>
              <w:pStyle w:val="1612"/>
              <w:spacing w:line="242" w:lineRule="auto"/>
              <w:ind w:firstLine="0"/>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rPr>
                <w:rFonts w:ascii="Times New Roman" w:hAnsi="Times New Roman" w:cs="Times New Roman"/>
                <w:sz w:val="22"/>
                <w:szCs w:val="22"/>
              </w:rPr>
            </w:r>
          </w:p>
        </w:tc>
        <w:tc>
          <w:tcPr>
            <w:tcW w:w="6138" w:type="dxa"/>
            <w:noWrap w:val="false"/>
            <w:textDirection w:val="lrTb"/>
          </w:tcPr>
          <w:p>
            <w:pPr>
              <w:pStyle w:val="1615"/>
              <w:spacing w:line="242" w:lineRule="auto"/>
              <w:ind w:left="0" w:firstLine="0"/>
              <w:rPr>
                <w:sz w:val="22"/>
                <w:szCs w:val="22"/>
              </w:rPr>
            </w:pPr>
            <w:r>
              <w:rPr>
                <w:sz w:val="22"/>
                <w:szCs w:val="22"/>
              </w:rPr>
              <w:t xml:space="preserve">В рамках реализации мероприятий государственной программы ХМАО-Югры «Современное здравоохранение» </w:t>
            </w:r>
            <w:r>
              <w:rPr>
                <w:sz w:val="22"/>
                <w:szCs w:val="22"/>
              </w:rPr>
              <w:t xml:space="preserve">Депздравом</w:t>
            </w:r>
            <w:r>
              <w:rPr>
                <w:sz w:val="22"/>
                <w:szCs w:val="22"/>
              </w:rPr>
              <w:t xml:space="preserve"> </w:t>
            </w:r>
            <w:r>
              <w:rPr>
                <w:sz w:val="22"/>
                <w:szCs w:val="22"/>
              </w:rPr>
              <w:t xml:space="preserve">Югры проводится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r>
              <w:rPr>
                <w:sz w:val="22"/>
                <w:szCs w:val="22"/>
              </w:rPr>
            </w:r>
          </w:p>
        </w:tc>
      </w:tr>
      <w:tr>
        <w:trPr/>
        <w:tc>
          <w:tcPr>
            <w:tcW w:w="589" w:type="dxa"/>
            <w:noWrap w:val="false"/>
            <w:textDirection w:val="lrTb"/>
          </w:tcPr>
          <w:p>
            <w:pPr>
              <w:spacing w:line="242" w:lineRule="auto"/>
              <w:ind w:firstLine="0"/>
              <w:jc w:val="center"/>
              <w:outlineLvl w:val="1"/>
              <w:rPr>
                <w:sz w:val="22"/>
                <w:szCs w:val="22"/>
              </w:rPr>
            </w:pPr>
            <w:r>
              <w:rPr>
                <w:sz w:val="22"/>
                <w:szCs w:val="22"/>
              </w:rPr>
              <w:t xml:space="preserve">15</w:t>
            </w:r>
            <w:r>
              <w:rPr>
                <w:sz w:val="22"/>
                <w:szCs w:val="22"/>
              </w:rPr>
            </w:r>
          </w:p>
        </w:tc>
        <w:tc>
          <w:tcPr>
            <w:tcW w:w="2780" w:type="dxa"/>
            <w:noWrap w:val="false"/>
            <w:textDirection w:val="lrTb"/>
          </w:tcPr>
          <w:p>
            <w:pPr>
              <w:pStyle w:val="1612"/>
              <w:spacing w:line="242" w:lineRule="auto"/>
              <w:ind w:firstLine="0"/>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w:t>
            </w:r>
            <w:r>
              <w:rPr>
                <w:rFonts w:ascii="Times New Roman" w:hAnsi="Times New Roman" w:cs="Times New Roman"/>
                <w:sz w:val="22"/>
                <w:szCs w:val="22"/>
              </w:rPr>
              <w:t xml:space="preserve">профилактической направленности</w:t>
            </w:r>
            <w:r>
              <w:rPr>
                <w:rFonts w:ascii="Times New Roman" w:hAnsi="Times New Roman" w:cs="Times New Roman"/>
                <w:sz w:val="22"/>
                <w:szCs w:val="22"/>
              </w:rPr>
            </w:r>
          </w:p>
        </w:tc>
        <w:tc>
          <w:tcPr>
            <w:tcW w:w="6138" w:type="dxa"/>
            <w:noWrap w:val="false"/>
            <w:textDirection w:val="lrTb"/>
          </w:tcPr>
          <w:p>
            <w:pPr>
              <w:spacing w:line="242" w:lineRule="auto"/>
              <w:ind w:firstLine="0"/>
              <w:contextualSpacing/>
              <w:outlineLvl w:val="1"/>
              <w:rPr>
                <w:sz w:val="22"/>
                <w:szCs w:val="22"/>
              </w:rPr>
            </w:pPr>
            <w:r>
              <w:rPr>
                <w:sz w:val="22"/>
                <w:szCs w:val="22"/>
              </w:rPr>
              <w:t xml:space="preserve">Приобретены медицинские диагностические реагенты,</w:t>
            </w:r>
            <w:r>
              <w:rPr>
                <w:sz w:val="22"/>
                <w:szCs w:val="22"/>
              </w:rPr>
              <w:br/>
              <w:t xml:space="preserve">в количестве 1 477 шт., (одноразовая тест-панель погружного типа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 для проведения исследований в области определения состояний опьянения у лиц, употребивших </w:t>
            </w:r>
            <w:r>
              <w:rPr>
                <w:sz w:val="22"/>
                <w:szCs w:val="22"/>
              </w:rPr>
              <w:t xml:space="preserve">психоактивные</w:t>
            </w:r>
            <w:r>
              <w:rPr>
                <w:sz w:val="22"/>
                <w:szCs w:val="22"/>
              </w:rPr>
              <w:t xml:space="preserve"> вещества.</w:t>
            </w:r>
            <w:r>
              <w:rPr>
                <w:sz w:val="22"/>
                <w:szCs w:val="22"/>
              </w:rPr>
            </w:r>
          </w:p>
        </w:tc>
      </w:tr>
    </w:tbl>
    <w:p>
      <w:pPr>
        <w:tabs>
          <w:tab w:val="left" w:pos="540" w:leader="none"/>
        </w:tabs>
        <w:spacing w:line="240" w:lineRule="auto"/>
        <w:ind w:firstLine="0"/>
        <w:rPr>
          <w:sz w:val="22"/>
          <w:szCs w:val="22"/>
          <w:highlight w:val="yellow"/>
        </w:rPr>
      </w:pPr>
      <w:r>
        <w:rPr>
          <w:sz w:val="22"/>
          <w:szCs w:val="22"/>
          <w:highlight w:val="yellow"/>
        </w:rPr>
      </w:r>
      <w:r>
        <w:rPr>
          <w:sz w:val="22"/>
          <w:szCs w:val="22"/>
          <w:highlight w:val="yellow"/>
        </w:rPr>
      </w:r>
    </w:p>
    <w:p>
      <w:pPr>
        <w:tabs>
          <w:tab w:val="left" w:pos="540" w:leader="none"/>
        </w:tabs>
        <w:spacing w:line="240" w:lineRule="auto"/>
        <w:ind w:firstLine="0"/>
        <w:rPr>
          <w:sz w:val="22"/>
          <w:szCs w:val="22"/>
          <w:highlight w:val="yellow"/>
        </w:rPr>
      </w:pPr>
      <w:r>
        <w:rPr>
          <w:sz w:val="22"/>
          <w:szCs w:val="22"/>
          <w:highlight w:val="yellow"/>
        </w:rPr>
      </w:r>
      <w:r>
        <w:rPr>
          <w:sz w:val="22"/>
          <w:szCs w:val="22"/>
          <w:highlight w:val="yellow"/>
        </w:rPr>
      </w:r>
    </w:p>
    <w:p>
      <w:pPr>
        <w:spacing w:line="276" w:lineRule="auto"/>
        <w:ind w:firstLine="709"/>
        <w:rPr>
          <w:rFonts w:eastAsia="Calibri"/>
          <w:b/>
          <w:bCs/>
          <w:i/>
        </w:rPr>
      </w:pPr>
      <w:r>
        <w:rPr>
          <w:rFonts w:eastAsia="Calibri"/>
          <w:b/>
          <w:i/>
        </w:rPr>
        <w:t xml:space="preserve">4. «Сокращение количества преступлений и правонарушений, связанных с незаконным оборотом наркотиков»</w:t>
      </w:r>
      <w:r>
        <w:rPr>
          <w:rFonts w:eastAsia="Calibri"/>
          <w:b/>
          <w:bCs/>
          <w:i/>
        </w:rPr>
      </w:r>
    </w:p>
    <w:p>
      <w:pPr>
        <w:spacing w:line="276" w:lineRule="auto"/>
        <w:ind w:firstLine="709"/>
      </w:pPr>
      <w:r>
        <w:t xml:space="preserve">Задачи, решаемые в этом приоритетном направлении:</w:t>
      </w:r>
    </w:p>
    <w:p>
      <w:pPr>
        <w:spacing w:line="276" w:lineRule="auto"/>
        <w:ind w:firstLine="709"/>
        <w:rPr>
          <w:rFonts w:eastAsia="Calibri"/>
        </w:rPr>
      </w:pPr>
      <w:r>
        <w:rPr>
          <w:rFonts w:eastAsia="Calibri"/>
        </w:rPr>
        <w:t xml:space="preserve">снижение уровня рецидивной преступности в сфере незаконного оборота наркотиков;</w:t>
      </w:r>
      <w:r>
        <w:rPr>
          <w:rFonts w:eastAsia="Calibri"/>
        </w:rPr>
      </w:r>
    </w:p>
    <w:p>
      <w:pPr>
        <w:spacing w:line="276" w:lineRule="auto"/>
        <w:ind w:firstLine="709"/>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r>
        <w:rPr>
          <w:rFonts w:eastAsia="Calibri"/>
        </w:rPr>
      </w:r>
    </w:p>
    <w:p>
      <w:pPr>
        <w:pStyle w:val="1615"/>
        <w:widowControl w:val="off"/>
        <w:spacing w:line="276" w:lineRule="auto"/>
        <w:ind w:left="0" w:firstLine="709"/>
      </w:pPr>
      <w:r>
        <w:t xml:space="preserve">Меры, обеспечивающие решение указанных задач:</w:t>
      </w:r>
    </w:p>
    <w:p>
      <w:pPr>
        <w:spacing w:line="276" w:lineRule="auto"/>
        <w:ind w:firstLine="709"/>
        <w:rPr>
          <w:rFonts w:eastAsia="Calibri"/>
        </w:rPr>
      </w:pPr>
      <w:r>
        <w:rPr>
          <w:rFonts w:eastAsia="Calibri"/>
        </w:rPr>
        <w:t xml:space="preserve">создание условий для медицинской и социальной реабилитации наркопотребителей, включая лиц, освободившихся из мест лишения свободы;</w:t>
      </w:r>
      <w:r>
        <w:rPr>
          <w:rFonts w:eastAsia="Calibri"/>
        </w:rPr>
      </w:r>
    </w:p>
    <w:p>
      <w:pPr>
        <w:spacing w:line="276" w:lineRule="auto"/>
        <w:ind w:firstLine="709"/>
        <w:rPr>
          <w:rFonts w:eastAsia="Calibri"/>
        </w:rPr>
      </w:pPr>
      <w:r>
        <w:rPr>
          <w:rFonts w:eastAsia="Calibri"/>
        </w:rPr>
        <w:t xml:space="preserve">выявление и пресечение функционирования в сети Интернет-ресурсов, используемых для пропаганды незаконных потребления и распространения наркотиков;</w:t>
      </w:r>
      <w:r>
        <w:rPr>
          <w:rFonts w:eastAsia="Calibri"/>
        </w:rPr>
      </w:r>
    </w:p>
    <w:p>
      <w:pPr>
        <w:spacing w:line="276" w:lineRule="auto"/>
        <w:ind w:firstLine="709"/>
        <w:rPr>
          <w:rFonts w:eastAsia="Calibri"/>
        </w:rPr>
      </w:pPr>
      <w:r>
        <w:rPr>
          <w:rFonts w:eastAsia="Calibri"/>
        </w:rPr>
        <w:t xml:space="preserve">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r>
        <w:rPr>
          <w:rFonts w:eastAsia="Calibri"/>
        </w:rPr>
      </w:r>
    </w:p>
    <w:p>
      <w:pPr>
        <w:tabs>
          <w:tab w:val="left" w:pos="540" w:leader="none"/>
        </w:tabs>
        <w:spacing w:line="240" w:lineRule="auto"/>
        <w:ind w:firstLine="709"/>
      </w:pPr>
      <w:r>
        <w:t xml:space="preserve">Информация о реализации указанного приоритетного направления:</w:t>
      </w:r>
    </w:p>
    <w:p>
      <w:pPr>
        <w:tabs>
          <w:tab w:val="left" w:pos="540" w:leader="none"/>
        </w:tabs>
        <w:spacing w:line="240" w:lineRule="auto"/>
        <w:ind w:firstLine="709"/>
      </w:pPr>
    </w:p>
    <w:tbl>
      <w:tblPr>
        <w:tblStyle w:val="1614"/>
        <w:tblW w:w="0" w:type="auto"/>
        <w:tblLook w:val="04A0" w:firstRow="1" w:lastRow="0" w:firstColumn="1" w:lastColumn="0" w:noHBand="0" w:noVBand="1"/>
      </w:tblPr>
      <w:tblGrid>
        <w:gridCol w:w="668"/>
        <w:gridCol w:w="2825"/>
        <w:gridCol w:w="5851"/>
      </w:tblGrid>
      <w:tr>
        <w:trPr>
          <w:tblHeader/>
        </w:trPr>
        <w:tc>
          <w:tcPr>
            <w:tcW w:w="671" w:type="dxa"/>
            <w:noWrap w:val="false"/>
            <w:textDirection w:val="lrTb"/>
            <w:vAlign w:val="center"/>
          </w:tcPr>
          <w:p>
            <w:pPr>
              <w:spacing w:line="240" w:lineRule="auto"/>
              <w:ind w:firstLine="0"/>
              <w:jc w:val="center"/>
              <w:rPr>
                <w:sz w:val="22"/>
                <w:szCs w:val="22"/>
              </w:rPr>
            </w:pPr>
            <w:r>
              <w:rPr>
                <w:sz w:val="22"/>
                <w:szCs w:val="22"/>
              </w:rPr>
              <w:t xml:space="preserve">№ п/п</w:t>
            </w:r>
            <w:r>
              <w:rPr>
                <w:sz w:val="22"/>
                <w:szCs w:val="22"/>
              </w:rPr>
            </w:r>
          </w:p>
        </w:tc>
        <w:tc>
          <w:tcPr>
            <w:tcW w:w="2839" w:type="dxa"/>
            <w:noWrap w:val="false"/>
            <w:textDirection w:val="lrTb"/>
            <w:vAlign w:val="center"/>
          </w:tcPr>
          <w:p>
            <w:pPr>
              <w:spacing w:line="240" w:lineRule="auto"/>
              <w:ind w:firstLine="0"/>
              <w:jc w:val="center"/>
              <w:rPr>
                <w:sz w:val="22"/>
                <w:szCs w:val="22"/>
              </w:rPr>
            </w:pPr>
            <w:r>
              <w:rPr>
                <w:sz w:val="22"/>
                <w:szCs w:val="22"/>
              </w:rPr>
              <w:t xml:space="preserve">Мероприятия</w:t>
            </w:r>
            <w:r>
              <w:rPr>
                <w:sz w:val="22"/>
                <w:szCs w:val="22"/>
              </w:rPr>
            </w:r>
          </w:p>
        </w:tc>
        <w:tc>
          <w:tcPr>
            <w:tcW w:w="5919" w:type="dxa"/>
            <w:noWrap w:val="false"/>
            <w:textDirection w:val="lrTb"/>
            <w:vAlign w:val="center"/>
          </w:tcPr>
          <w:p>
            <w:pPr>
              <w:tabs>
                <w:tab w:val="left" w:pos="540" w:leader="none"/>
              </w:tabs>
              <w:spacing w:line="240" w:lineRule="auto"/>
              <w:ind w:firstLine="0"/>
              <w:jc w:val="center"/>
              <w:rPr>
                <w:sz w:val="22"/>
                <w:szCs w:val="22"/>
              </w:rPr>
            </w:pPr>
            <w:r>
              <w:rPr>
                <w:sz w:val="22"/>
                <w:szCs w:val="22"/>
              </w:rPr>
              <w:t xml:space="preserve">Информация о реализации</w:t>
            </w:r>
            <w:r>
              <w:rPr>
                <w:sz w:val="22"/>
                <w:szCs w:val="22"/>
              </w:rPr>
            </w:r>
          </w:p>
        </w:tc>
      </w:tr>
      <w:tr>
        <w:trPr/>
        <w:tc>
          <w:tcPr>
            <w:tcW w:w="671" w:type="dxa"/>
            <w:noWrap w:val="false"/>
            <w:textDirection w:val="lrTb"/>
          </w:tcPr>
          <w:p>
            <w:pPr>
              <w:tabs>
                <w:tab w:val="left" w:pos="540" w:leader="none"/>
              </w:tabs>
              <w:spacing w:line="240" w:lineRule="auto"/>
              <w:ind w:firstLine="0"/>
              <w:jc w:val="center"/>
              <w:rPr>
                <w:sz w:val="22"/>
                <w:szCs w:val="22"/>
              </w:rPr>
            </w:pPr>
            <w:r>
              <w:rPr>
                <w:sz w:val="22"/>
                <w:szCs w:val="22"/>
              </w:rPr>
              <w:t xml:space="preserve">1</w:t>
            </w:r>
            <w:r>
              <w:rPr>
                <w:sz w:val="22"/>
                <w:szCs w:val="22"/>
              </w:rPr>
            </w:r>
          </w:p>
        </w:tc>
        <w:tc>
          <w:tcPr>
            <w:tcW w:w="2839" w:type="dxa"/>
            <w:noWrap w:val="false"/>
            <w:textDirection w:val="lrTb"/>
          </w:tcPr>
          <w:p>
            <w:pPr>
              <w:spacing w:line="240" w:lineRule="auto"/>
              <w:ind w:firstLine="0"/>
              <w:jc w:val="left"/>
              <w:rPr>
                <w:rFonts w:eastAsia="Calibri"/>
                <w:sz w:val="22"/>
                <w:szCs w:val="22"/>
              </w:rPr>
            </w:pPr>
            <w:r>
              <w:rPr>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rPr>
                <w:rFonts w:eastAsia="Calibri"/>
                <w:sz w:val="22"/>
                <w:szCs w:val="22"/>
              </w:rPr>
            </w:r>
          </w:p>
        </w:tc>
        <w:tc>
          <w:tcPr>
            <w:tcW w:w="5919" w:type="dxa"/>
            <w:noWrap w:val="false"/>
            <w:textDirection w:val="lrTb"/>
          </w:tcPr>
          <w:p>
            <w:pPr>
              <w:spacing w:line="240" w:lineRule="auto"/>
              <w:ind w:firstLine="0"/>
              <w:outlineLvl w:val="1"/>
              <w:rPr>
                <w:rFonts w:eastAsia="Calibri"/>
                <w:color w:val="000000" w:themeColor="text1"/>
                <w:sz w:val="22"/>
                <w:szCs w:val="22"/>
              </w:rPr>
            </w:pPr>
            <w:r>
              <w:rPr>
                <w:rFonts w:eastAsia="Calibri"/>
                <w:color w:val="000000" w:themeColor="text1"/>
                <w:sz w:val="22"/>
                <w:szCs w:val="22"/>
              </w:rPr>
              <w:t xml:space="preserve">Депполитики</w:t>
            </w:r>
            <w:r>
              <w:rPr>
                <w:rFonts w:eastAsia="Calibri"/>
                <w:color w:val="000000" w:themeColor="text1"/>
                <w:sz w:val="22"/>
                <w:szCs w:val="22"/>
              </w:rPr>
              <w:t xml:space="preserve"> Югры совместно с окружной телерадиокомпанией «Югра» подготовлен и размещен в эфире телеканала «Югра» ролик </w:t>
            </w:r>
            <w:r>
              <w:rPr>
                <w:color w:val="000000"/>
                <w:sz w:val="22"/>
                <w:szCs w:val="22"/>
              </w:rPr>
              <w:t xml:space="preserve">на тему «Профилактика наркомании на базе молодежных центров» (хронометраж 3 минуты). Осуществлено </w:t>
            </w:r>
            <w:r>
              <w:rPr>
                <w:color w:val="000000"/>
                <w:sz w:val="22"/>
                <w:szCs w:val="22"/>
              </w:rPr>
              <w:t xml:space="preserve">таргетированное</w:t>
            </w:r>
            <w:r>
              <w:rPr>
                <w:color w:val="000000"/>
                <w:sz w:val="22"/>
                <w:szCs w:val="22"/>
              </w:rPr>
              <w:t xml:space="preserve"> продвижение видеоролика в социальной сети «</w:t>
            </w:r>
            <w:r>
              <w:rPr>
                <w:color w:val="000000"/>
                <w:sz w:val="22"/>
                <w:szCs w:val="22"/>
              </w:rPr>
              <w:t xml:space="preserve">ВКонтакте</w:t>
            </w:r>
            <w:r>
              <w:rPr>
                <w:color w:val="000000"/>
                <w:sz w:val="22"/>
                <w:szCs w:val="22"/>
              </w:rPr>
              <w:t xml:space="preserve">».</w:t>
            </w:r>
            <w:r>
              <w:rPr>
                <w:rFonts w:eastAsia="Calibri"/>
                <w:color w:val="000000" w:themeColor="text1"/>
                <w:sz w:val="22"/>
                <w:szCs w:val="22"/>
              </w:rPr>
            </w:r>
          </w:p>
          <w:p>
            <w:pPr>
              <w:spacing w:line="240" w:lineRule="auto"/>
              <w:ind w:firstLine="0"/>
              <w:rPr>
                <w:sz w:val="22"/>
                <w:szCs w:val="22"/>
              </w:rPr>
            </w:pPr>
            <w:r>
              <w:rPr>
                <w:rFonts w:eastAsia="Calibri"/>
                <w:color w:val="000000" w:themeColor="text1"/>
                <w:sz w:val="22"/>
                <w:szCs w:val="22"/>
              </w:rPr>
              <w:t xml:space="preserve">Депполитики</w:t>
            </w:r>
            <w:r>
              <w:rPr>
                <w:rFonts w:eastAsia="Calibri"/>
                <w:color w:val="000000" w:themeColor="text1"/>
                <w:sz w:val="22"/>
                <w:szCs w:val="22"/>
              </w:rPr>
              <w:t xml:space="preserve"> Югры обеспечивает доступ граждан </w:t>
            </w:r>
            <w:r>
              <w:rPr>
                <w:rFonts w:eastAsia="Calibri"/>
                <w:color w:val="000000" w:themeColor="text1"/>
                <w:sz w:val="22"/>
                <w:szCs w:val="22"/>
              </w:rPr>
              <w:br/>
              <w:t xml:space="preserve">к социально значимой информации, в том числе антинаркотической направленности.</w:t>
            </w:r>
            <w:r>
              <w:rPr>
                <w:sz w:val="22"/>
                <w:szCs w:val="22"/>
              </w:rPr>
            </w:r>
          </w:p>
          <w:p>
            <w:pPr>
              <w:spacing w:line="240" w:lineRule="auto"/>
              <w:ind w:firstLine="0"/>
              <w:rPr>
                <w:sz w:val="22"/>
                <w:szCs w:val="22"/>
              </w:rPr>
            </w:pPr>
            <w:r>
              <w:rPr>
                <w:rFonts w:eastAsia="Calibri"/>
                <w:color w:val="000000" w:themeColor="text1"/>
                <w:sz w:val="22"/>
                <w:szCs w:val="22"/>
              </w:rPr>
              <w:t xml:space="preserve">По данным информационно-аналитической системы «</w:t>
            </w:r>
            <w:r>
              <w:rPr>
                <w:rFonts w:eastAsia="Calibri"/>
                <w:color w:val="000000" w:themeColor="text1"/>
                <w:sz w:val="22"/>
                <w:szCs w:val="22"/>
              </w:rPr>
              <w:t xml:space="preserve">Медиалогия</w:t>
            </w:r>
            <w:r>
              <w:rPr>
                <w:rFonts w:eastAsia="Calibri"/>
                <w:color w:val="000000" w:themeColor="text1"/>
                <w:sz w:val="22"/>
                <w:szCs w:val="22"/>
              </w:rPr>
              <w:t xml:space="preserve">» в СМИ автономного округа в 2025 году размещено 3413 сообщения, касающихся мероприятий антинаркотической направленности, в том числе 135 – в печатных СМИ, 54 – на телевидении, 37 – на радио, 3187 – в интернет-СМИ и на сайтах информагентств.</w:t>
            </w:r>
            <w:r>
              <w:rPr>
                <w:sz w:val="22"/>
                <w:szCs w:val="22"/>
              </w:rPr>
            </w:r>
          </w:p>
          <w:p>
            <w:pPr>
              <w:spacing w:line="240" w:lineRule="auto"/>
              <w:ind w:firstLine="0"/>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w:t>
            </w:r>
            <w:r>
              <w:rPr>
                <w:rFonts w:eastAsia="Calibri"/>
                <w:color w:val="000000" w:themeColor="text1"/>
                <w:sz w:val="22"/>
                <w:szCs w:val="22"/>
              </w:rPr>
              <w:t xml:space="preserve">образований, в региональных и городских </w:t>
            </w:r>
            <w:r>
              <w:rPr>
                <w:rFonts w:eastAsia="Calibri"/>
                <w:color w:val="000000" w:themeColor="text1"/>
                <w:sz w:val="22"/>
                <w:szCs w:val="22"/>
              </w:rPr>
              <w:t xml:space="preserve">пабликах</w:t>
            </w:r>
            <w:r>
              <w:rPr>
                <w:rFonts w:eastAsia="Calibri"/>
                <w:color w:val="000000" w:themeColor="text1"/>
                <w:sz w:val="22"/>
                <w:szCs w:val="22"/>
              </w:rPr>
              <w:t xml:space="preserve"> в социальных сетях «</w:t>
            </w:r>
            <w:r>
              <w:rPr>
                <w:rFonts w:eastAsia="Calibri"/>
                <w:color w:val="000000" w:themeColor="text1"/>
                <w:sz w:val="22"/>
                <w:szCs w:val="22"/>
              </w:rPr>
              <w:t xml:space="preserve">ВКонтакте</w:t>
            </w:r>
            <w:r>
              <w:rPr>
                <w:rFonts w:eastAsia="Calibri"/>
                <w:color w:val="000000" w:themeColor="text1"/>
                <w:sz w:val="22"/>
                <w:szCs w:val="22"/>
              </w:rPr>
              <w:t xml:space="preserve">», «Одноклассники», а также в официальных каналах «Югра. Официально» в мессенджерах «</w:t>
            </w:r>
            <w:r>
              <w:rPr>
                <w:rFonts w:eastAsia="Calibri"/>
                <w:color w:val="000000" w:themeColor="text1"/>
                <w:sz w:val="22"/>
                <w:szCs w:val="22"/>
              </w:rPr>
              <w:t xml:space="preserve">Телеграм</w:t>
            </w:r>
            <w:r>
              <w:rPr>
                <w:rFonts w:eastAsia="Calibri"/>
                <w:color w:val="000000" w:themeColor="text1"/>
                <w:sz w:val="22"/>
                <w:szCs w:val="22"/>
              </w:rPr>
              <w:t xml:space="preserve">», «Мах».</w:t>
            </w:r>
            <w:r>
              <w:rPr>
                <w:sz w:val="22"/>
                <w:szCs w:val="22"/>
              </w:rPr>
            </w:r>
          </w:p>
          <w:p>
            <w:pPr>
              <w:spacing w:line="240" w:lineRule="auto"/>
              <w:ind w:firstLine="0"/>
              <w:rPr>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81 Записи набрали 560649 просмотров. Социальная реакция (сумма </w:t>
            </w:r>
            <w:r>
              <w:rPr>
                <w:rFonts w:eastAsia="Calibri"/>
                <w:color w:val="000000" w:themeColor="text1"/>
                <w:sz w:val="22"/>
                <w:szCs w:val="22"/>
              </w:rPr>
              <w:t xml:space="preserve">репостов</w:t>
            </w:r>
            <w:r>
              <w:rPr>
                <w:rFonts w:eastAsia="Calibri"/>
                <w:color w:val="000000" w:themeColor="text1"/>
                <w:sz w:val="22"/>
                <w:szCs w:val="22"/>
              </w:rPr>
              <w:t xml:space="preserve">, </w:t>
            </w:r>
            <w:r>
              <w:rPr>
                <w:rFonts w:eastAsia="Calibri"/>
                <w:color w:val="000000" w:themeColor="text1"/>
                <w:sz w:val="22"/>
                <w:szCs w:val="22"/>
              </w:rPr>
              <w:t xml:space="preserve">лайков</w:t>
            </w:r>
            <w:r>
              <w:rPr>
                <w:rFonts w:eastAsia="Calibri"/>
                <w:color w:val="000000" w:themeColor="text1"/>
                <w:sz w:val="22"/>
                <w:szCs w:val="22"/>
              </w:rPr>
              <w:t xml:space="preserve">, комментариев) – 365.</w:t>
            </w:r>
            <w:r>
              <w:rPr>
                <w:sz w:val="22"/>
                <w:szCs w:val="22"/>
              </w:rPr>
            </w:r>
          </w:p>
        </w:tc>
      </w:tr>
      <w:tr>
        <w:trPr/>
        <w:tc>
          <w:tcPr>
            <w:tcW w:w="671" w:type="dxa"/>
            <w:noWrap w:val="false"/>
            <w:textDirection w:val="lrTb"/>
          </w:tcPr>
          <w:p>
            <w:pPr>
              <w:tabs>
                <w:tab w:val="left" w:pos="540" w:leader="none"/>
              </w:tabs>
              <w:spacing w:line="240" w:lineRule="auto"/>
              <w:ind w:firstLine="0"/>
              <w:jc w:val="center"/>
              <w:rPr>
                <w:sz w:val="22"/>
                <w:szCs w:val="22"/>
              </w:rPr>
            </w:pPr>
            <w:r>
              <w:rPr>
                <w:sz w:val="22"/>
                <w:szCs w:val="22"/>
              </w:rPr>
              <w:t xml:space="preserve">2</w:t>
            </w:r>
            <w:r>
              <w:rPr>
                <w:sz w:val="22"/>
                <w:szCs w:val="22"/>
              </w:rPr>
            </w:r>
          </w:p>
        </w:tc>
        <w:tc>
          <w:tcPr>
            <w:tcW w:w="2839" w:type="dxa"/>
            <w:noWrap w:val="false"/>
            <w:textDirection w:val="lrTb"/>
          </w:tcPr>
          <w:p>
            <w:pPr>
              <w:spacing w:line="240" w:lineRule="auto"/>
              <w:ind w:firstLine="0"/>
              <w:jc w:val="left"/>
              <w:rPr>
                <w:sz w:val="22"/>
                <w:szCs w:val="22"/>
              </w:rPr>
            </w:pPr>
            <w:r>
              <w:rPr>
                <w:color w:val="000000" w:themeColor="text1"/>
                <w:sz w:val="22"/>
                <w:szCs w:val="22"/>
              </w:rPr>
              <w:t xml:space="preserve">Организация и проведение конкурса профессионального журналистского мастерства «Журналист года Югры»</w:t>
            </w:r>
            <w:r>
              <w:rPr>
                <w:sz w:val="22"/>
                <w:szCs w:val="22"/>
              </w:rPr>
            </w:r>
          </w:p>
        </w:tc>
        <w:tc>
          <w:tcPr>
            <w:tcW w:w="5919" w:type="dxa"/>
            <w:noWrap w:val="false"/>
            <w:textDirection w:val="lrTb"/>
          </w:tcPr>
          <w:p>
            <w:pPr>
              <w:spacing w:line="240" w:lineRule="auto"/>
              <w:ind w:firstLine="0"/>
              <w:outlineLvl w:val="1"/>
              <w:rPr>
                <w:sz w:val="22"/>
                <w:szCs w:val="22"/>
              </w:rPr>
            </w:pPr>
            <w:r>
              <w:rPr>
                <w:color w:val="000000" w:themeColor="text1"/>
                <w:sz w:val="22"/>
                <w:szCs w:val="22"/>
              </w:rPr>
              <w:t xml:space="preserve">В соответствии с положением о ежегодном конкурсе «Журналист года Югры», утвержденным приказом Департамента внутренней политики автономного округа от 16.09.2025 № 02-ОД-69, заявки принимались по 26 номинациям, в том числе </w:t>
            </w:r>
            <w:r>
              <w:rPr>
                <w:rFonts w:eastAsia="Calibri"/>
                <w:color w:val="000000" w:themeColor="text1"/>
                <w:sz w:val="22"/>
                <w:szCs w:val="22"/>
              </w:rPr>
              <w:t xml:space="preserve">«Юный журналист года» – за лучшие материалы, подготовленные учащим</w:t>
            </w:r>
            <w:r>
              <w:rPr>
                <w:rFonts w:eastAsia="Calibri"/>
                <w:color w:val="000000" w:themeColor="text1"/>
                <w:sz w:val="22"/>
                <w:szCs w:val="22"/>
              </w:rPr>
              <w:t xml:space="preserve">ися 5-11 классов общеобразовательных организаций, в том числе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w:t>
            </w:r>
            <w:r>
              <w:rPr>
                <w:sz w:val="22"/>
                <w:szCs w:val="22"/>
              </w:rPr>
            </w:r>
          </w:p>
          <w:p>
            <w:pPr>
              <w:spacing w:line="240" w:lineRule="auto"/>
              <w:ind w:firstLine="0"/>
              <w:outlineLvl w:val="1"/>
              <w:rPr>
                <w:rFonts w:eastAsia="Calibri"/>
                <w:color w:val="000000" w:themeColor="text1"/>
                <w:sz w:val="22"/>
                <w:szCs w:val="22"/>
              </w:rPr>
            </w:pPr>
            <w:r>
              <w:rPr>
                <w:color w:val="000000" w:themeColor="text1"/>
                <w:sz w:val="22"/>
                <w:szCs w:val="22"/>
              </w:rPr>
              <w:t xml:space="preserve">Всего в данной номинации поступила 21 заявка. Работы антинаркотической направленности среди победителей отсутствуют. </w:t>
            </w:r>
            <w:r>
              <w:rPr>
                <w:rFonts w:eastAsia="Calibri"/>
                <w:color w:val="000000" w:themeColor="text1"/>
                <w:sz w:val="22"/>
                <w:szCs w:val="22"/>
              </w:rPr>
            </w:r>
          </w:p>
        </w:tc>
      </w:tr>
    </w:tbl>
    <w:p>
      <w:pPr>
        <w:widowControl w:val="off"/>
        <w:tabs>
          <w:tab w:val="left" w:pos="1671" w:leader="none"/>
        </w:tabs>
        <w:spacing w:line="240" w:lineRule="auto"/>
        <w:jc w:val="right"/>
        <w:rPr>
          <w:lang w:bidi="ru-RU"/>
        </w:rPr>
      </w:pPr>
      <w:r>
        <w:rPr>
          <w:lang w:bidi="ru-RU"/>
        </w:rPr>
      </w:r>
      <w:r>
        <w:rPr>
          <w:lang w:bidi="ru-RU"/>
        </w:rPr>
      </w:r>
    </w:p>
    <w:p>
      <w:pPr>
        <w:widowControl w:val="off"/>
        <w:tabs>
          <w:tab w:val="left" w:pos="1671" w:leader="none"/>
        </w:tabs>
        <w:spacing w:line="240" w:lineRule="auto"/>
        <w:jc w:val="right"/>
        <w:rPr>
          <w:lang w:bidi="ru-RU"/>
        </w:rPr>
      </w:pPr>
      <w:r>
        <w:rPr>
          <w:lang w:bidi="ru-RU"/>
        </w:rPr>
        <w:t xml:space="preserve">Таблица 6</w:t>
      </w:r>
      <w:r>
        <w:rPr>
          <w:lang w:bidi="ru-RU"/>
        </w:rPr>
      </w:r>
    </w:p>
    <w:p>
      <w:pPr>
        <w:widowControl w:val="off"/>
        <w:tabs>
          <w:tab w:val="left" w:pos="1671" w:leader="none"/>
        </w:tabs>
        <w:spacing w:line="240" w:lineRule="auto"/>
        <w:jc w:val="right"/>
        <w:rPr>
          <w:lang w:bidi="ru-RU"/>
        </w:rPr>
      </w:pPr>
      <w:r>
        <w:rPr>
          <w:lang w:bidi="ru-RU"/>
        </w:rPr>
      </w:r>
      <w:r>
        <w:rPr>
          <w:lang w:bidi="ru-RU"/>
        </w:rPr>
      </w:r>
    </w:p>
    <w:p>
      <w:pPr>
        <w:widowControl w:val="off"/>
        <w:tabs>
          <w:tab w:val="left" w:pos="1671" w:leader="none"/>
        </w:tabs>
        <w:spacing w:line="240" w:lineRule="auto"/>
        <w:ind w:firstLine="0"/>
        <w:jc w:val="center"/>
        <w:rPr>
          <w:b/>
          <w:lang w:bidi="ru-RU"/>
        </w:rPr>
      </w:pPr>
      <w:r>
        <w:rPr>
          <w:b/>
          <w:lang w:bidi="ru-RU"/>
        </w:rPr>
        <w:t xml:space="preserve">Информация по достижению значений показателей в 2025 году</w:t>
      </w:r>
      <w:r>
        <w:rPr>
          <w:b/>
          <w:lang w:bidi="ru-RU"/>
        </w:rP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387"/>
        <w:gridCol w:w="1843"/>
        <w:gridCol w:w="1701"/>
      </w:tblGrid>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sz w:val="22"/>
                <w:szCs w:val="22"/>
              </w:rPr>
              <w:t xml:space="preserve">№ п/п</w:t>
            </w:r>
            <w:r>
              <w:rPr>
                <w:rFonts w:eastAsia="Calibri"/>
                <w:sz w:val="22"/>
                <w:szCs w:val="22"/>
              </w:rPr>
            </w:r>
          </w:p>
        </w:tc>
        <w:tc>
          <w:tcPr>
            <w:tcW w:w="5387" w:type="dxa"/>
            <w:noWrap w:val="false"/>
            <w:textDirection w:val="lrTb"/>
            <w:vAlign w:val="center"/>
          </w:tcPr>
          <w:p>
            <w:pPr>
              <w:spacing w:line="240" w:lineRule="auto"/>
              <w:ind w:firstLine="0"/>
              <w:jc w:val="center"/>
              <w:rPr>
                <w:rFonts w:eastAsia="Calibri"/>
                <w:sz w:val="22"/>
                <w:szCs w:val="22"/>
              </w:rPr>
            </w:pPr>
            <w:r>
              <w:rPr>
                <w:rFonts w:eastAsia="Calibri"/>
                <w:sz w:val="22"/>
                <w:szCs w:val="22"/>
              </w:rPr>
              <w:t xml:space="preserve">Наименование </w:t>
            </w:r>
            <w:r>
              <w:rPr>
                <w:rFonts w:eastAsia="Calibri"/>
                <w:sz w:val="22"/>
                <w:szCs w:val="22"/>
              </w:rPr>
            </w:r>
          </w:p>
          <w:p>
            <w:pPr>
              <w:spacing w:line="240" w:lineRule="auto"/>
              <w:ind w:firstLine="0"/>
              <w:jc w:val="center"/>
              <w:rPr>
                <w:rFonts w:eastAsia="Calibri"/>
                <w:sz w:val="22"/>
                <w:szCs w:val="22"/>
              </w:rPr>
            </w:pPr>
            <w:r>
              <w:rPr>
                <w:rFonts w:eastAsia="Calibri"/>
                <w:sz w:val="22"/>
                <w:szCs w:val="22"/>
              </w:rPr>
              <w:t xml:space="preserve">показателя</w:t>
            </w:r>
            <w:r>
              <w:rPr>
                <w:rFonts w:eastAsia="Calibri"/>
                <w:sz w:val="22"/>
                <w:szCs w:val="22"/>
              </w:rPr>
            </w:r>
          </w:p>
        </w:tc>
        <w:tc>
          <w:tcPr>
            <w:tcW w:w="1843" w:type="dxa"/>
            <w:noWrap w:val="false"/>
            <w:textDirection w:val="lrTb"/>
            <w:vAlign w:val="center"/>
          </w:tcPr>
          <w:p>
            <w:pPr>
              <w:spacing w:line="240" w:lineRule="auto"/>
              <w:ind w:firstLine="0"/>
              <w:jc w:val="center"/>
              <w:rPr>
                <w:rFonts w:eastAsia="Calibri"/>
                <w:sz w:val="22"/>
                <w:szCs w:val="22"/>
              </w:rPr>
            </w:pPr>
            <w:r>
              <w:rPr>
                <w:rFonts w:eastAsia="Calibri"/>
                <w:sz w:val="22"/>
                <w:szCs w:val="22"/>
              </w:rPr>
              <w:t xml:space="preserve">Плановое значение на 2025 год</w:t>
            </w:r>
            <w:r>
              <w:rPr>
                <w:rFonts w:eastAsia="Calibri"/>
                <w:sz w:val="22"/>
                <w:szCs w:val="22"/>
              </w:rPr>
            </w:r>
          </w:p>
        </w:tc>
        <w:tc>
          <w:tcPr>
            <w:tcW w:w="1701" w:type="dxa"/>
            <w:noWrap w:val="false"/>
            <w:textDirection w:val="lrTb"/>
            <w:vAlign w:val="center"/>
          </w:tcPr>
          <w:p>
            <w:pPr>
              <w:spacing w:line="240" w:lineRule="auto"/>
              <w:ind w:firstLine="0"/>
              <w:jc w:val="center"/>
              <w:rPr>
                <w:rFonts w:eastAsia="Calibri"/>
                <w:sz w:val="22"/>
                <w:szCs w:val="22"/>
              </w:rPr>
            </w:pPr>
            <w:r>
              <w:rPr>
                <w:rFonts w:eastAsia="Calibri"/>
                <w:sz w:val="22"/>
                <w:szCs w:val="22"/>
              </w:rPr>
              <w:t xml:space="preserve">Фактическое значение за 2025 год</w:t>
            </w:r>
            <w:r>
              <w:rPr>
                <w:rFonts w:eastAsia="Calibri"/>
                <w:sz w:val="22"/>
                <w:szCs w:val="22"/>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1</w:t>
            </w:r>
            <w:r>
              <w:rPr>
                <w:rFonts w:eastAsia="Calibri"/>
                <w:sz w:val="22"/>
                <w:szCs w:val="22"/>
              </w:rPr>
            </w:r>
          </w:p>
        </w:tc>
        <w:tc>
          <w:tcPr>
            <w:tcW w:w="5387" w:type="dxa"/>
            <w:noWrap w:val="false"/>
            <w:textDirection w:val="lrTb"/>
            <w:vAlign w:val="center"/>
          </w:tcPr>
          <w:p>
            <w:pPr>
              <w:spacing w:line="240" w:lineRule="auto"/>
              <w:ind w:firstLine="0"/>
              <w:jc w:val="left"/>
              <w:rPr>
                <w:rFonts w:eastAsia="Calibri"/>
                <w:sz w:val="22"/>
                <w:szCs w:val="22"/>
              </w:rPr>
            </w:pPr>
            <w:r>
              <w:rPr>
                <w:color w:val="000000"/>
                <w:sz w:val="22"/>
                <w:szCs w:val="22"/>
              </w:rPr>
              <w:t xml:space="preserve">Вовлеченность населения в незаконный оборот наркотиков (на 100 тыс. человек)</w:t>
            </w:r>
            <w:r>
              <w:rPr>
                <w:rFonts w:eastAsia="Calibri"/>
                <w:sz w:val="22"/>
                <w:szCs w:val="22"/>
              </w:rPr>
            </w:r>
          </w:p>
        </w:tc>
        <w:tc>
          <w:tcPr>
            <w:tcW w:w="1843" w:type="dxa"/>
            <w:noWrap w:val="false"/>
            <w:textDirection w:val="lrTb"/>
            <w:vAlign w:val="center"/>
          </w:tcPr>
          <w:p>
            <w:pPr>
              <w:spacing w:line="240" w:lineRule="auto"/>
              <w:ind w:firstLine="0"/>
              <w:jc w:val="center"/>
              <w:rPr>
                <w:sz w:val="22"/>
                <w:szCs w:val="22"/>
              </w:rPr>
            </w:pPr>
            <w:r>
              <w:rPr>
                <w:rFonts w:eastAsia="Arial"/>
                <w:sz w:val="22"/>
                <w:szCs w:val="22"/>
              </w:rPr>
              <w:t xml:space="preserve">146,0</w:t>
            </w:r>
            <w:r>
              <w:rPr>
                <w:sz w:val="22"/>
                <w:szCs w:val="22"/>
              </w:rPr>
            </w:r>
          </w:p>
        </w:tc>
        <w:tc>
          <w:tcPr>
            <w:tcW w:w="1701" w:type="dxa"/>
            <w:noWrap w:val="false"/>
            <w:textDirection w:val="lrTb"/>
            <w:vAlign w:val="center"/>
          </w:tcPr>
          <w:p>
            <w:pPr>
              <w:spacing w:line="240" w:lineRule="auto"/>
              <w:ind w:firstLine="0"/>
              <w:jc w:val="center"/>
              <w:rPr>
                <w:rFonts w:eastAsia="Calibri"/>
                <w:sz w:val="22"/>
                <w:szCs w:val="22"/>
                <w:highlight w:val="yellow"/>
              </w:rPr>
            </w:pPr>
            <w:r>
              <w:rPr>
                <w:rFonts w:eastAsia="Calibri"/>
                <w:color w:val="000000"/>
                <w:sz w:val="22"/>
                <w:szCs w:val="22"/>
              </w:rPr>
              <w:t xml:space="preserve">131,1</w:t>
            </w:r>
            <w:r>
              <w:rPr>
                <w:rFonts w:eastAsia="Calibri"/>
                <w:sz w:val="22"/>
                <w:szCs w:val="22"/>
                <w:highlight w:val="yellow"/>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2</w:t>
            </w:r>
            <w:r>
              <w:rPr>
                <w:rFonts w:eastAsia="Calibri"/>
                <w:sz w:val="22"/>
                <w:szCs w:val="22"/>
              </w:rPr>
            </w:r>
          </w:p>
        </w:tc>
        <w:tc>
          <w:tcPr>
            <w:tcW w:w="5387" w:type="dxa"/>
            <w:noWrap w:val="false"/>
            <w:textDirection w:val="lrTb"/>
            <w:vAlign w:val="center"/>
          </w:tcPr>
          <w:p>
            <w:pPr>
              <w:spacing w:line="240" w:lineRule="auto"/>
              <w:ind w:firstLine="0"/>
              <w:jc w:val="left"/>
              <w:rPr>
                <w:rFonts w:eastAsia="Calibri"/>
                <w:sz w:val="22"/>
                <w:szCs w:val="22"/>
              </w:rPr>
            </w:pPr>
            <w:r>
              <w:rPr>
                <w:color w:val="000000"/>
                <w:sz w:val="22"/>
                <w:szCs w:val="22"/>
              </w:rPr>
              <w:t xml:space="preserve">Криминогенность</w:t>
            </w:r>
            <w:r>
              <w:rPr>
                <w:color w:val="000000"/>
                <w:sz w:val="22"/>
                <w:szCs w:val="22"/>
              </w:rPr>
              <w:t xml:space="preserve"> наркомании (на 100 тыс. человек)</w:t>
            </w:r>
            <w:r>
              <w:rPr>
                <w:rFonts w:eastAsia="Calibri"/>
                <w:sz w:val="22"/>
                <w:szCs w:val="22"/>
              </w:rPr>
            </w:r>
          </w:p>
        </w:tc>
        <w:tc>
          <w:tcPr>
            <w:tcW w:w="1843" w:type="dxa"/>
            <w:noWrap w:val="false"/>
            <w:textDirection w:val="lrTb"/>
            <w:vAlign w:val="center"/>
          </w:tcPr>
          <w:p>
            <w:pPr>
              <w:spacing w:line="240" w:lineRule="auto"/>
              <w:ind w:firstLine="0"/>
              <w:jc w:val="center"/>
              <w:rPr>
                <w:sz w:val="22"/>
                <w:szCs w:val="22"/>
              </w:rPr>
            </w:pPr>
            <w:r>
              <w:rPr>
                <w:rFonts w:eastAsia="Arial"/>
                <w:sz w:val="22"/>
                <w:szCs w:val="22"/>
              </w:rPr>
              <w:t xml:space="preserve">137,0</w:t>
            </w:r>
            <w:r>
              <w:rPr>
                <w:sz w:val="22"/>
                <w:szCs w:val="22"/>
              </w:rPr>
            </w:r>
          </w:p>
        </w:tc>
        <w:tc>
          <w:tcPr>
            <w:tcW w:w="1701" w:type="dxa"/>
            <w:noWrap w:val="false"/>
            <w:textDirection w:val="lrTb"/>
            <w:vAlign w:val="center"/>
          </w:tcPr>
          <w:p>
            <w:pPr>
              <w:spacing w:line="240" w:lineRule="auto"/>
              <w:ind w:firstLine="0"/>
              <w:jc w:val="center"/>
              <w:rPr>
                <w:rFonts w:eastAsia="Calibri"/>
                <w:sz w:val="22"/>
                <w:szCs w:val="22"/>
                <w:highlight w:val="yellow"/>
              </w:rPr>
            </w:pPr>
            <w:r>
              <w:rPr>
                <w:rFonts w:eastAsia="Calibri"/>
                <w:color w:val="000000"/>
                <w:sz w:val="22"/>
                <w:szCs w:val="22"/>
              </w:rPr>
              <w:t xml:space="preserve">111,7</w:t>
            </w:r>
            <w:r>
              <w:rPr>
                <w:rFonts w:eastAsia="Calibri"/>
                <w:sz w:val="22"/>
                <w:szCs w:val="22"/>
                <w:highlight w:val="yellow"/>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3</w:t>
            </w:r>
            <w:r>
              <w:rPr>
                <w:rFonts w:eastAsia="Calibri"/>
                <w:sz w:val="22"/>
                <w:szCs w:val="22"/>
              </w:rPr>
            </w:r>
          </w:p>
        </w:tc>
        <w:tc>
          <w:tcPr>
            <w:tcW w:w="5387" w:type="dxa"/>
            <w:noWrap w:val="false"/>
            <w:textDirection w:val="lrTb"/>
            <w:vAlign w:val="center"/>
          </w:tcPr>
          <w:p>
            <w:pPr>
              <w:spacing w:line="240" w:lineRule="auto"/>
              <w:ind w:firstLine="0"/>
              <w:jc w:val="left"/>
              <w:rPr>
                <w:rFonts w:eastAsia="Calibri"/>
                <w:sz w:val="22"/>
                <w:szCs w:val="22"/>
              </w:rPr>
            </w:pPr>
            <w:r>
              <w:rPr>
                <w:color w:val="000000"/>
                <w:sz w:val="22"/>
                <w:szCs w:val="22"/>
              </w:rPr>
              <w:t xml:space="preserve">Количество случаев острых отравлений наркотиками (на 100 тыс. человек)</w:t>
            </w:r>
            <w:r>
              <w:rPr>
                <w:rFonts w:eastAsia="Calibri"/>
                <w:sz w:val="22"/>
                <w:szCs w:val="22"/>
              </w:rPr>
            </w:r>
          </w:p>
        </w:tc>
        <w:tc>
          <w:tcPr>
            <w:tcW w:w="1843" w:type="dxa"/>
            <w:noWrap w:val="false"/>
            <w:textDirection w:val="lrTb"/>
            <w:vAlign w:val="center"/>
          </w:tcPr>
          <w:p>
            <w:pPr>
              <w:spacing w:line="240" w:lineRule="auto"/>
              <w:ind w:firstLine="0"/>
              <w:jc w:val="center"/>
              <w:rPr>
                <w:sz w:val="22"/>
                <w:szCs w:val="22"/>
              </w:rPr>
            </w:pPr>
            <w:r>
              <w:rPr>
                <w:rFonts w:eastAsia="Arial"/>
                <w:sz w:val="22"/>
                <w:szCs w:val="22"/>
              </w:rPr>
              <w:t xml:space="preserve">5,4</w:t>
            </w:r>
            <w:r>
              <w:rPr>
                <w:sz w:val="22"/>
                <w:szCs w:val="22"/>
              </w:rPr>
            </w:r>
          </w:p>
        </w:tc>
        <w:tc>
          <w:tcPr>
            <w:tcW w:w="1701" w:type="dxa"/>
            <w:noWrap w:val="false"/>
            <w:textDirection w:val="lrTb"/>
            <w:vAlign w:val="center"/>
          </w:tcPr>
          <w:p>
            <w:pPr>
              <w:spacing w:line="240" w:lineRule="auto"/>
              <w:ind w:firstLine="0"/>
              <w:jc w:val="center"/>
              <w:rPr>
                <w:rFonts w:eastAsia="Calibri"/>
                <w:sz w:val="22"/>
                <w:szCs w:val="22"/>
                <w:highlight w:val="yellow"/>
              </w:rPr>
            </w:pPr>
            <w:r>
              <w:rPr>
                <w:rFonts w:eastAsia="Calibri"/>
                <w:color w:val="000000"/>
                <w:sz w:val="22"/>
                <w:szCs w:val="22"/>
              </w:rPr>
              <w:t xml:space="preserve">4,7</w:t>
            </w:r>
            <w:r>
              <w:rPr>
                <w:rFonts w:eastAsia="Calibri"/>
                <w:sz w:val="22"/>
                <w:szCs w:val="22"/>
                <w:highlight w:val="yellow"/>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4</w:t>
            </w:r>
            <w:r>
              <w:rPr>
                <w:rFonts w:eastAsia="Calibri"/>
                <w:sz w:val="22"/>
                <w:szCs w:val="22"/>
              </w:rPr>
            </w:r>
          </w:p>
        </w:tc>
        <w:tc>
          <w:tcPr>
            <w:tcW w:w="5387" w:type="dxa"/>
            <w:noWrap w:val="false"/>
            <w:textDirection w:val="lrTb"/>
            <w:vAlign w:val="center"/>
          </w:tcPr>
          <w:p>
            <w:pPr>
              <w:spacing w:line="240" w:lineRule="auto"/>
              <w:ind w:firstLine="0"/>
              <w:jc w:val="left"/>
              <w:rPr>
                <w:rFonts w:eastAsia="Calibri"/>
                <w:sz w:val="22"/>
                <w:szCs w:val="22"/>
              </w:rPr>
            </w:pPr>
            <w:r>
              <w:rPr>
                <w:color w:val="000000"/>
                <w:sz w:val="22"/>
                <w:szCs w:val="22"/>
              </w:rPr>
              <w:t xml:space="preserve">Количество случаев острых отравлений наркотиками среди несовершеннолетних (на 100 тыс. несовершеннолетних)</w:t>
            </w:r>
            <w:r>
              <w:rPr>
                <w:rFonts w:eastAsia="Calibri"/>
                <w:sz w:val="22"/>
                <w:szCs w:val="22"/>
              </w:rPr>
            </w:r>
          </w:p>
        </w:tc>
        <w:tc>
          <w:tcPr>
            <w:tcW w:w="1843" w:type="dxa"/>
            <w:noWrap w:val="false"/>
            <w:textDirection w:val="lrTb"/>
            <w:vAlign w:val="center"/>
          </w:tcPr>
          <w:p>
            <w:pPr>
              <w:spacing w:line="240" w:lineRule="auto"/>
              <w:ind w:firstLine="0"/>
              <w:jc w:val="center"/>
              <w:rPr>
                <w:sz w:val="22"/>
                <w:szCs w:val="22"/>
              </w:rPr>
            </w:pPr>
            <w:r>
              <w:rPr>
                <w:rFonts w:eastAsia="Arial"/>
                <w:sz w:val="22"/>
                <w:szCs w:val="22"/>
              </w:rPr>
              <w:t xml:space="preserve">0,9</w:t>
            </w:r>
            <w:r>
              <w:rPr>
                <w:sz w:val="22"/>
                <w:szCs w:val="22"/>
              </w:rPr>
            </w:r>
          </w:p>
        </w:tc>
        <w:tc>
          <w:tcPr>
            <w:tcW w:w="1701" w:type="dxa"/>
            <w:noWrap w:val="false"/>
            <w:textDirection w:val="lrTb"/>
            <w:vAlign w:val="center"/>
          </w:tcPr>
          <w:p>
            <w:pPr>
              <w:spacing w:line="240" w:lineRule="auto"/>
              <w:ind w:firstLine="0"/>
              <w:jc w:val="center"/>
              <w:rPr>
                <w:rFonts w:eastAsia="Calibri"/>
                <w:sz w:val="22"/>
                <w:szCs w:val="22"/>
                <w:highlight w:val="yellow"/>
              </w:rPr>
            </w:pPr>
            <w:r>
              <w:rPr>
                <w:rFonts w:eastAsia="Calibri"/>
                <w:color w:val="000000"/>
                <w:sz w:val="22"/>
                <w:szCs w:val="22"/>
              </w:rPr>
              <w:t xml:space="preserve">0,5</w:t>
            </w:r>
            <w:r>
              <w:rPr>
                <w:rFonts w:eastAsia="Calibri"/>
                <w:sz w:val="22"/>
                <w:szCs w:val="22"/>
                <w:highlight w:val="yellow"/>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5</w:t>
            </w:r>
            <w:r>
              <w:rPr>
                <w:rFonts w:eastAsia="Calibri"/>
                <w:sz w:val="22"/>
                <w:szCs w:val="22"/>
              </w:rPr>
            </w:r>
          </w:p>
        </w:tc>
        <w:tc>
          <w:tcPr>
            <w:tcW w:w="5387" w:type="dxa"/>
            <w:noWrap w:val="false"/>
            <w:textDirection w:val="lrTb"/>
            <w:vAlign w:val="center"/>
          </w:tcPr>
          <w:p>
            <w:pPr>
              <w:spacing w:line="240" w:lineRule="auto"/>
              <w:ind w:firstLine="0"/>
              <w:jc w:val="left"/>
              <w:rPr>
                <w:rFonts w:eastAsia="Calibri"/>
                <w:sz w:val="22"/>
                <w:szCs w:val="22"/>
              </w:rPr>
            </w:pPr>
            <w:r>
              <w:rPr>
                <w:color w:val="000000"/>
                <w:sz w:val="22"/>
                <w:szCs w:val="22"/>
              </w:rPr>
              <w:t xml:space="preserve">Количество случаев смерти в результате острых отравлений наркотиками (на 100 тыс. человек)</w:t>
            </w:r>
            <w:r>
              <w:rPr>
                <w:rFonts w:eastAsia="Calibri"/>
                <w:sz w:val="22"/>
                <w:szCs w:val="22"/>
              </w:rPr>
            </w:r>
          </w:p>
        </w:tc>
        <w:tc>
          <w:tcPr>
            <w:tcW w:w="1843" w:type="dxa"/>
            <w:noWrap w:val="false"/>
            <w:textDirection w:val="lrTb"/>
            <w:vAlign w:val="center"/>
          </w:tcPr>
          <w:p>
            <w:pPr>
              <w:spacing w:line="240" w:lineRule="auto"/>
              <w:ind w:firstLine="0"/>
              <w:jc w:val="center"/>
              <w:rPr>
                <w:sz w:val="22"/>
                <w:szCs w:val="22"/>
              </w:rPr>
            </w:pPr>
            <w:r>
              <w:rPr>
                <w:rFonts w:eastAsia="Arial"/>
                <w:sz w:val="22"/>
                <w:szCs w:val="22"/>
              </w:rPr>
              <w:t xml:space="preserve">4,0</w:t>
            </w:r>
            <w:r>
              <w:rPr>
                <w:sz w:val="22"/>
                <w:szCs w:val="22"/>
              </w:rPr>
            </w:r>
          </w:p>
        </w:tc>
        <w:tc>
          <w:tcPr>
            <w:tcW w:w="1701" w:type="dxa"/>
            <w:noWrap w:val="false"/>
            <w:textDirection w:val="lrTb"/>
            <w:vAlign w:val="center"/>
          </w:tcPr>
          <w:p>
            <w:pPr>
              <w:spacing w:line="240" w:lineRule="auto"/>
              <w:ind w:firstLine="0"/>
              <w:jc w:val="center"/>
              <w:rPr>
                <w:rFonts w:eastAsia="Calibri"/>
                <w:sz w:val="22"/>
                <w:szCs w:val="22"/>
                <w:highlight w:val="yellow"/>
              </w:rPr>
            </w:pPr>
            <w:r>
              <w:rPr>
                <w:rFonts w:eastAsia="Calibri"/>
                <w:color w:val="000000"/>
                <w:sz w:val="22"/>
                <w:szCs w:val="22"/>
              </w:rPr>
              <w:t xml:space="preserve">2,9</w:t>
            </w:r>
            <w:r>
              <w:rPr>
                <w:rFonts w:eastAsia="Calibri"/>
                <w:sz w:val="22"/>
                <w:szCs w:val="22"/>
                <w:highlight w:val="yellow"/>
              </w:rPr>
            </w:r>
          </w:p>
        </w:tc>
      </w:tr>
      <w:tr>
        <w:trPr>
          <w:trHeight w:val="227"/>
        </w:trPr>
        <w:tc>
          <w:tcPr>
            <w:tcW w:w="567" w:type="dxa"/>
            <w:noWrap w:val="false"/>
            <w:textDirection w:val="lrTb"/>
            <w:vAlign w:val="center"/>
          </w:tcPr>
          <w:p>
            <w:pPr>
              <w:spacing w:line="240" w:lineRule="auto"/>
              <w:ind w:firstLine="0"/>
              <w:jc w:val="center"/>
              <w:rPr>
                <w:rFonts w:eastAsia="Calibri"/>
                <w:sz w:val="22"/>
                <w:szCs w:val="22"/>
              </w:rPr>
            </w:pPr>
            <w:r>
              <w:rPr>
                <w:rFonts w:eastAsia="Calibri"/>
                <w:color w:val="000000"/>
                <w:sz w:val="22"/>
                <w:szCs w:val="22"/>
              </w:rPr>
              <w:t xml:space="preserve">6</w:t>
            </w:r>
            <w:r>
              <w:rPr>
                <w:rFonts w:eastAsia="Calibri"/>
                <w:sz w:val="22"/>
                <w:szCs w:val="22"/>
              </w:rPr>
            </w:r>
          </w:p>
        </w:tc>
        <w:tc>
          <w:tcPr>
            <w:tcW w:w="5387" w:type="dxa"/>
            <w:noWrap w:val="false"/>
            <w:textDirection w:val="lrTb"/>
            <w:vAlign w:val="center"/>
          </w:tcPr>
          <w:p>
            <w:pPr>
              <w:spacing w:line="240" w:lineRule="auto"/>
              <w:ind w:firstLine="0"/>
              <w:jc w:val="left"/>
              <w:rPr>
                <w:rFonts w:eastAsia="Calibri"/>
                <w:b/>
                <w:sz w:val="22"/>
                <w:szCs w:val="22"/>
              </w:rPr>
            </w:pPr>
            <w:r>
              <w:rPr>
                <w:b/>
                <w:bCs/>
                <w:color w:val="000000"/>
                <w:sz w:val="22"/>
                <w:szCs w:val="22"/>
              </w:rPr>
              <w:t xml:space="preserve">Общая оценка наркоситуации</w:t>
            </w:r>
            <w:r>
              <w:rPr>
                <w:rFonts w:eastAsia="Calibri"/>
                <w:b/>
                <w:sz w:val="22"/>
                <w:szCs w:val="22"/>
              </w:rPr>
            </w:r>
          </w:p>
        </w:tc>
        <w:tc>
          <w:tcPr>
            <w:tcW w:w="1843" w:type="dxa"/>
            <w:noWrap w:val="false"/>
            <w:textDirection w:val="lrTb"/>
          </w:tcPr>
          <w:p>
            <w:pPr>
              <w:spacing w:line="240" w:lineRule="auto"/>
              <w:ind w:firstLine="0"/>
              <w:jc w:val="center"/>
              <w:rPr>
                <w:rFonts w:eastAsia="Calibri"/>
                <w:b/>
                <w:sz w:val="22"/>
                <w:szCs w:val="22"/>
              </w:rPr>
            </w:pPr>
            <w:r>
              <w:rPr>
                <w:rFonts w:eastAsia="Arial"/>
                <w:b/>
                <w:sz w:val="22"/>
                <w:szCs w:val="22"/>
              </w:rPr>
              <w:t xml:space="preserve">Сложная</w:t>
            </w:r>
            <w:r>
              <w:rPr>
                <w:rFonts w:eastAsia="Calibri"/>
                <w:b/>
                <w:sz w:val="22"/>
                <w:szCs w:val="22"/>
              </w:rPr>
            </w:r>
          </w:p>
        </w:tc>
        <w:tc>
          <w:tcPr>
            <w:tcW w:w="1701" w:type="dxa"/>
            <w:noWrap w:val="false"/>
            <w:textDirection w:val="lrTb"/>
            <w:vAlign w:val="center"/>
          </w:tcPr>
          <w:p>
            <w:pPr>
              <w:spacing w:line="240" w:lineRule="auto"/>
              <w:ind w:firstLine="0"/>
              <w:jc w:val="center"/>
              <w:rPr>
                <w:rFonts w:eastAsia="Calibri"/>
                <w:b/>
                <w:sz w:val="22"/>
                <w:szCs w:val="22"/>
                <w:highlight w:val="yellow"/>
              </w:rPr>
            </w:pPr>
            <w:r>
              <w:rPr>
                <w:rFonts w:eastAsia="Calibri"/>
                <w:b/>
                <w:bCs/>
                <w:color w:val="000000"/>
                <w:sz w:val="22"/>
                <w:szCs w:val="22"/>
              </w:rPr>
              <w:t xml:space="preserve">Напряженная</w:t>
            </w:r>
            <w:r>
              <w:rPr>
                <w:rFonts w:eastAsia="Calibri"/>
                <w:b/>
                <w:sz w:val="22"/>
                <w:szCs w:val="22"/>
                <w:highlight w:val="yellow"/>
              </w:rPr>
            </w:r>
          </w:p>
        </w:tc>
      </w:tr>
    </w:tbl>
    <w:p>
      <w:pPr>
        <w:spacing w:line="240" w:lineRule="auto"/>
        <w:ind w:firstLine="709"/>
        <w:rPr>
          <w:szCs w:val="20"/>
          <w:highlight w:val="yellow"/>
        </w:rPr>
      </w:pPr>
      <w:r>
        <w:rPr>
          <w:szCs w:val="20"/>
          <w:highlight w:val="yellow"/>
        </w:rPr>
      </w:r>
      <w:r>
        <w:rPr>
          <w:szCs w:val="20"/>
          <w:highlight w:val="yellow"/>
        </w:rPr>
      </w:r>
    </w:p>
    <w:p>
      <w:pPr>
        <w:spacing w:line="276" w:lineRule="auto"/>
        <w:ind w:firstLine="709"/>
        <w:outlineLvl w:val="1"/>
        <w:rPr>
          <w:b/>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p>
    <w:p>
      <w:pPr>
        <w:spacing w:line="276" w:lineRule="auto"/>
        <w:ind w:firstLine="709"/>
        <w:outlineLvl w:val="1"/>
        <w:rPr>
          <w:b/>
          <w:highlight w:val="white"/>
        </w:rPr>
      </w:pPr>
      <w:r>
        <w:rPr>
          <w:b/>
          <w:highlight w:val="white"/>
        </w:rPr>
        <w:t xml:space="preserve">8. Предварительная оценка состояния наркоситуации в Ханты-Мансийском автономном округе – Югре в соответствии с Критериями оценки развития наркоситуации в автономном округе (в разрезе муниципальных образований)</w:t>
      </w:r>
      <w:r>
        <w:rPr>
          <w:b/>
          <w:highlight w:val="white"/>
        </w:rPr>
      </w:r>
    </w:p>
    <w:p>
      <w:pPr>
        <w:spacing w:line="276" w:lineRule="auto"/>
        <w:ind w:firstLine="709"/>
      </w:pPr>
    </w:p>
    <w:p>
      <w:pPr>
        <w:spacing w:line="276" w:lineRule="auto"/>
        <w:ind w:firstLine="709"/>
        <w:rPr>
          <w:b/>
        </w:rPr>
      </w:pPr>
      <w:r>
        <w:t xml:space="preserve">Порядок определения критериев оценки развития наркоситуации закреплен </w:t>
      </w:r>
      <w:r>
        <w:rPr>
          <w:rFonts w:eastAsia="Calibri"/>
          <w:color w:val="000000"/>
        </w:rPr>
        <w:t xml:space="preserve">Методикой и порядком осуществления мониторинга, а </w:t>
      </w:r>
      <w:r>
        <w:rPr>
          <w:rFonts w:eastAsia="Calibri"/>
          <w:color w:val="000000"/>
        </w:rPr>
        <w:t xml:space="preserve">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r>
        <w:rPr>
          <w:b/>
        </w:rPr>
      </w:r>
    </w:p>
    <w:p>
      <w:pPr>
        <w:spacing w:line="276" w:lineRule="auto"/>
        <w:ind w:firstLine="709"/>
      </w:pPr>
      <w:r>
        <w:t xml:space="preserve">Оценка развития наркоситуации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p>
    <w:p>
      <w:pPr>
        <w:spacing w:line="276" w:lineRule="auto"/>
        <w:ind w:firstLine="709"/>
      </w:pPr>
      <w:r>
        <w:t xml:space="preserve">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p>
    <w:p>
      <w:pPr>
        <w:spacing w:line="276" w:lineRule="auto"/>
        <w:ind w:firstLine="709"/>
        <w:rPr>
          <w:bCs/>
        </w:rPr>
      </w:pPr>
      <w:r>
        <w:t xml:space="preserve">ОП1. В</w:t>
      </w:r>
      <w:r>
        <w:rPr>
          <w:bCs/>
        </w:rPr>
        <w:t xml:space="preserve">овлеченность населения в незаконный оборот наркотиков;</w:t>
      </w:r>
      <w:r>
        <w:rPr>
          <w:bCs/>
        </w:rPr>
      </w:r>
    </w:p>
    <w:p>
      <w:pPr>
        <w:spacing w:line="276" w:lineRule="auto"/>
        <w:ind w:firstLine="709"/>
        <w:rPr>
          <w:bCs/>
        </w:rPr>
      </w:pPr>
      <w:r>
        <w:rPr>
          <w:bCs/>
        </w:rPr>
        <w:t xml:space="preserve">ОП2. Уровень вовлеченности несовершеннолетних в незаконный оборот наркотиков;</w:t>
      </w:r>
      <w:r>
        <w:rPr>
          <w:bCs/>
        </w:rPr>
      </w:r>
    </w:p>
    <w:p>
      <w:pPr>
        <w:spacing w:line="276" w:lineRule="auto"/>
        <w:ind w:firstLine="709"/>
        <w:rPr>
          <w:bCs/>
        </w:rPr>
      </w:pPr>
      <w:r>
        <w:rPr>
          <w:bCs/>
        </w:rPr>
        <w:t xml:space="preserve">ОП3. </w:t>
      </w:r>
      <w:r>
        <w:rPr>
          <w:bCs/>
        </w:rPr>
        <w:t xml:space="preserve">Криминогенность</w:t>
      </w:r>
      <w:r>
        <w:rPr>
          <w:bCs/>
        </w:rPr>
        <w:t xml:space="preserve"> наркомании;</w:t>
      </w:r>
      <w:r>
        <w:rPr>
          <w:bCs/>
        </w:rPr>
      </w:r>
    </w:p>
    <w:p>
      <w:pPr>
        <w:spacing w:line="276" w:lineRule="auto"/>
        <w:ind w:firstLine="709"/>
        <w:rPr>
          <w:bCs/>
        </w:rPr>
      </w:pPr>
      <w:r>
        <w:rPr>
          <w:bCs/>
        </w:rPr>
        <w:t xml:space="preserve">ОП4. Уровень </w:t>
      </w:r>
      <w:r>
        <w:rPr>
          <w:bCs/>
        </w:rPr>
        <w:t xml:space="preserve">криминогенности</w:t>
      </w:r>
      <w:r>
        <w:rPr>
          <w:bCs/>
        </w:rPr>
        <w:t xml:space="preserve"> наркомании среди несовершеннолетних;</w:t>
      </w:r>
      <w:r>
        <w:rPr>
          <w:bCs/>
        </w:rPr>
      </w:r>
    </w:p>
    <w:p>
      <w:pPr>
        <w:spacing w:line="276" w:lineRule="auto"/>
        <w:ind w:firstLine="709"/>
        <w:rPr>
          <w:bCs/>
        </w:rPr>
      </w:pPr>
      <w:r>
        <w:rPr>
          <w:bCs/>
        </w:rPr>
        <w:t xml:space="preserve">ОП5. Доступность наркотиков </w:t>
      </w:r>
      <w:r>
        <w:rPr>
          <w:bCs/>
          <w:i/>
        </w:rPr>
        <w:t xml:space="preserve">(рассчитывается только на федеральном уровне);</w:t>
      </w:r>
      <w:r>
        <w:rPr>
          <w:bCs/>
        </w:rPr>
      </w:r>
    </w:p>
    <w:p>
      <w:pPr>
        <w:spacing w:line="276" w:lineRule="auto"/>
        <w:ind w:firstLine="709"/>
        <w:rPr>
          <w:bCs/>
        </w:rPr>
      </w:pPr>
      <w:r>
        <w:rPr>
          <w:bCs/>
        </w:rPr>
        <w:t xml:space="preserve">ОП6.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rPr>
          <w:bCs/>
        </w:rPr>
      </w:r>
    </w:p>
    <w:p>
      <w:pPr>
        <w:spacing w:line="276" w:lineRule="auto"/>
        <w:ind w:firstLine="709"/>
        <w:rPr>
          <w:bCs/>
        </w:rPr>
      </w:pPr>
      <w:r>
        <w:rPr>
          <w:bCs/>
        </w:rPr>
        <w:t xml:space="preserve">ОП7. У</w:t>
      </w:r>
      <w:r>
        <w:t xml:space="preserve">ровень первичной заболеваемости наркоманией;</w:t>
      </w:r>
      <w:r>
        <w:rPr>
          <w:bCs/>
        </w:rPr>
      </w:r>
    </w:p>
    <w:p>
      <w:pPr>
        <w:spacing w:line="276" w:lineRule="auto"/>
        <w:ind w:firstLine="709"/>
        <w:rPr>
          <w:bCs/>
        </w:rPr>
      </w:pPr>
      <w:r>
        <w:rPr>
          <w:bCs/>
        </w:rPr>
        <w:t xml:space="preserve">ОП8. О</w:t>
      </w:r>
      <w:r>
        <w:t xml:space="preserve">стрые отравления наркотиками;</w:t>
      </w:r>
      <w:r>
        <w:rPr>
          <w:bCs/>
        </w:rPr>
      </w:r>
    </w:p>
    <w:p>
      <w:pPr>
        <w:spacing w:line="276" w:lineRule="auto"/>
        <w:ind w:firstLine="709"/>
        <w:rPr>
          <w:bCs/>
        </w:rPr>
      </w:pPr>
      <w:r>
        <w:rPr>
          <w:bCs/>
        </w:rPr>
        <w:t xml:space="preserve">ОП9. О</w:t>
      </w:r>
      <w:r>
        <w:t xml:space="preserve">стрые отравления наркотиками среди несовершеннолетних;</w:t>
      </w:r>
      <w:r>
        <w:rPr>
          <w:bCs/>
        </w:rPr>
      </w:r>
    </w:p>
    <w:p>
      <w:pPr>
        <w:spacing w:line="276" w:lineRule="auto"/>
        <w:ind w:firstLine="709"/>
      </w:pPr>
      <w:r>
        <w:rPr>
          <w:bCs/>
        </w:rPr>
        <w:t xml:space="preserve">ОП10. С</w:t>
      </w:r>
      <w:r>
        <w:t xml:space="preserve">мертность, связанная с острым отравлением наркотиками.</w:t>
      </w:r>
    </w:p>
    <w:p>
      <w:pPr>
        <w:spacing w:line="276" w:lineRule="auto"/>
        <w:ind w:firstLine="709"/>
      </w:pPr>
      <w:r>
        <w:t xml:space="preserve">Оценочный показатель определяется на основании расчета статистического показател</w:t>
      </w:r>
      <w:r>
        <w:t xml:space="preserve">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w:t>
      </w:r>
      <w:r>
        <w:t xml:space="preserve">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7" w:name="P183"/>
      <w:bookmarkEnd w:id="7"/>
      <w:r>
        <w:t xml:space="preserve">значение оценочных показателей муниципальных образований.</w:t>
      </w:r>
    </w:p>
    <w:p>
      <w:pPr>
        <w:spacing w:line="276" w:lineRule="auto"/>
        <w:ind w:firstLine="709"/>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pPr>
        <w:spacing w:line="276" w:lineRule="auto"/>
        <w:ind w:firstLine="709"/>
        <w:rPr>
          <w:rFonts w:eastAsia="Calibri"/>
          <w:color w:val="000000"/>
        </w:rPr>
      </w:pPr>
      <w:r>
        <w:t xml:space="preserve">В таблицах 7-8 и на рис. 19-27 представлены оценочные показатели наркоситуации в </w:t>
      </w:r>
      <w:r>
        <w:rPr>
          <w:rFonts w:eastAsia="Calibri"/>
          <w:color w:val="000000"/>
        </w:rPr>
        <w:t xml:space="preserve">Ханты-Мансийском автономном округе – Югре в разрезе муниципальных образований региона.</w:t>
      </w:r>
      <w:r>
        <w:rPr>
          <w:rFonts w:eastAsia="Calibri"/>
          <w:color w:val="000000"/>
        </w:rPr>
      </w:r>
    </w:p>
    <w:p>
      <w:pPr>
        <w:spacing w:line="276" w:lineRule="auto"/>
        <w:ind w:firstLine="0"/>
        <w:jc w:val="right"/>
        <w:sectPr>
          <w:footnotePr/>
          <w:endnotePr/>
          <w:type w:val="nextPage"/>
          <w:pgSz w:w="11906" w:h="16838" w:orient="portrait"/>
          <w:pgMar w:top="1134" w:right="851" w:bottom="1134" w:left="1701" w:header="709" w:footer="709" w:gutter="0"/>
          <w:cols w:num="1" w:sep="0" w:space="708" w:equalWidth="1"/>
          <w:docGrid w:linePitch="360"/>
        </w:sectPr>
      </w:pPr>
    </w:p>
    <w:p>
      <w:pPr>
        <w:spacing w:line="240" w:lineRule="auto"/>
        <w:ind w:firstLine="0"/>
        <w:jc w:val="right"/>
      </w:pPr>
      <w:r>
        <w:t xml:space="preserve">Таблица 7</w:t>
      </w:r>
    </w:p>
    <w:p>
      <w:pPr>
        <w:spacing w:line="240" w:lineRule="auto"/>
        <w:ind w:firstLine="0"/>
        <w:jc w:val="center"/>
        <w:rPr>
          <w:rFonts w:eastAsia="Calibri"/>
          <w:b/>
          <w:color w:val="000000"/>
        </w:rPr>
      </w:pPr>
      <w:r>
        <w:rPr>
          <w:b/>
        </w:rPr>
        <w:t xml:space="preserve">Критерии оценки развития наркоситуации в </w:t>
      </w:r>
      <w:r>
        <w:rPr>
          <w:rFonts w:eastAsia="Calibri"/>
          <w:b/>
          <w:color w:val="000000"/>
        </w:rPr>
        <w:t xml:space="preserve">Ханты-Мансийском автономном округе – Югре</w:t>
      </w:r>
      <w:r>
        <w:rPr>
          <w:rFonts w:eastAsia="Calibri"/>
          <w:b/>
          <w:color w:val="000000"/>
        </w:rPr>
      </w:r>
    </w:p>
    <w:p>
      <w:pPr>
        <w:spacing w:line="240" w:lineRule="auto"/>
        <w:ind w:firstLine="0"/>
        <w:jc w:val="center"/>
        <w:rPr>
          <w:rFonts w:eastAsia="Calibri"/>
          <w:b/>
          <w:color w:val="000000"/>
        </w:rPr>
      </w:pPr>
      <w:r>
        <w:rPr>
          <w:rFonts w:eastAsia="Calibri"/>
          <w:b/>
          <w:color w:val="000000"/>
        </w:rPr>
        <w:t xml:space="preserve">в разрезе муниципальных образований в баллах</w:t>
      </w:r>
      <w:r>
        <w:rPr>
          <w:rFonts w:eastAsia="Calibri"/>
          <w:b/>
          <w:color w:val="000000"/>
        </w:rPr>
      </w:r>
    </w:p>
    <w:tbl>
      <w:tblPr>
        <w:tblW w:w="14757" w:type="dxa"/>
        <w:tblInd w:w="93" w:type="dxa"/>
        <w:tblLook w:val="04A0" w:firstRow="1" w:lastRow="0" w:firstColumn="1" w:lastColumn="0" w:noHBand="0" w:noVBand="1"/>
      </w:tblPr>
      <w:tblGrid>
        <w:gridCol w:w="3593"/>
        <w:gridCol w:w="1242"/>
        <w:gridCol w:w="1276"/>
        <w:gridCol w:w="992"/>
        <w:gridCol w:w="1276"/>
        <w:gridCol w:w="1417"/>
        <w:gridCol w:w="1134"/>
        <w:gridCol w:w="1276"/>
        <w:gridCol w:w="1233"/>
        <w:gridCol w:w="1318"/>
      </w:tblGrid>
      <w:tr>
        <w:trPr>
          <w:trHeight w:val="3402"/>
          <w:tblHeader/>
        </w:trPr>
        <w:tc>
          <w:tcPr>
            <w:tcW w:w="3593" w:type="dxa"/>
            <w:vMerge w:val="restart"/>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Муниципальное образование</w:t>
            </w:r>
            <w:r>
              <w:rPr>
                <w:color w:val="000000"/>
                <w:sz w:val="23"/>
                <w:szCs w:val="23"/>
              </w:rPr>
            </w:r>
          </w:p>
        </w:tc>
        <w:tc>
          <w:tcPr>
            <w:tcW w:w="1242"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ОП1. Вовлеченность населения в незаконный оборот наркотиков</w:t>
            </w:r>
            <w:r>
              <w:rPr>
                <w:b/>
                <w:bCs/>
                <w:color w:val="000000"/>
                <w:sz w:val="23"/>
                <w:szCs w:val="23"/>
              </w:rPr>
            </w:r>
          </w:p>
        </w:tc>
        <w:tc>
          <w:tcPr>
            <w:tcW w:w="1276"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ОП2. Уровень вовлеченности несовершеннолетних в незаконный оборот наркотиков </w:t>
            </w:r>
            <w:r>
              <w:rPr>
                <w:b/>
                <w:bCs/>
                <w:color w:val="000000"/>
                <w:sz w:val="23"/>
                <w:szCs w:val="23"/>
              </w:rPr>
            </w:r>
          </w:p>
        </w:tc>
        <w:tc>
          <w:tcPr>
            <w:tcW w:w="992"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ОП3. </w:t>
            </w:r>
            <w:r>
              <w:rPr>
                <w:b/>
                <w:bCs/>
                <w:color w:val="000000"/>
                <w:sz w:val="23"/>
                <w:szCs w:val="23"/>
              </w:rPr>
              <w:t xml:space="preserve">Криминогенность</w:t>
            </w:r>
            <w:r>
              <w:rPr>
                <w:b/>
                <w:bCs/>
                <w:color w:val="000000"/>
                <w:sz w:val="23"/>
                <w:szCs w:val="23"/>
              </w:rPr>
              <w:br/>
              <w:t xml:space="preserve">наркомании</w:t>
            </w:r>
            <w:r>
              <w:rPr>
                <w:b/>
                <w:bCs/>
                <w:color w:val="000000"/>
                <w:sz w:val="23"/>
                <w:szCs w:val="23"/>
              </w:rPr>
            </w:r>
          </w:p>
        </w:tc>
        <w:tc>
          <w:tcPr>
            <w:tcW w:w="1276"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ОП4. Уровень </w:t>
            </w:r>
            <w:r>
              <w:rPr>
                <w:b/>
                <w:bCs/>
                <w:color w:val="000000"/>
                <w:sz w:val="23"/>
                <w:szCs w:val="23"/>
              </w:rPr>
              <w:t xml:space="preserve">криминогенности</w:t>
            </w:r>
            <w:r>
              <w:rPr>
                <w:b/>
                <w:bCs/>
                <w:color w:val="000000"/>
                <w:sz w:val="23"/>
                <w:szCs w:val="23"/>
              </w:rPr>
              <w:t xml:space="preserve"> наркомании </w:t>
            </w:r>
            <w:r>
              <w:rPr>
                <w:b/>
                <w:bCs/>
                <w:color w:val="000000"/>
                <w:sz w:val="23"/>
                <w:szCs w:val="23"/>
              </w:rPr>
            </w:r>
          </w:p>
          <w:p>
            <w:pPr>
              <w:spacing w:line="240" w:lineRule="auto"/>
              <w:ind w:firstLine="0"/>
              <w:jc w:val="center"/>
              <w:rPr>
                <w:b/>
                <w:bCs/>
                <w:color w:val="000000"/>
                <w:sz w:val="23"/>
                <w:szCs w:val="23"/>
              </w:rPr>
            </w:pPr>
            <w:r>
              <w:rPr>
                <w:b/>
                <w:bCs/>
                <w:color w:val="000000"/>
                <w:sz w:val="23"/>
                <w:szCs w:val="23"/>
              </w:rPr>
              <w:t xml:space="preserve">среди несовершеннолетних </w:t>
            </w:r>
            <w:r>
              <w:rPr>
                <w:b/>
                <w:bCs/>
                <w:color w:val="000000"/>
                <w:sz w:val="23"/>
                <w:szCs w:val="23"/>
              </w:rPr>
            </w:r>
          </w:p>
        </w:tc>
        <w:tc>
          <w:tcPr>
            <w:tcW w:w="1417"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ОП7. Уровень первичной заболеваемости наркологическими расстройствами, связанными с употреблением наркотиков</w:t>
            </w:r>
            <w:r>
              <w:rPr>
                <w:b/>
                <w:bCs/>
                <w:color w:val="000000"/>
                <w:sz w:val="23"/>
                <w:szCs w:val="23"/>
              </w:rPr>
            </w:r>
          </w:p>
        </w:tc>
        <w:tc>
          <w:tcPr>
            <w:tcW w:w="1134"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ОП8. Острые отравления </w:t>
            </w:r>
            <w:r>
              <w:rPr>
                <w:b/>
                <w:bCs/>
                <w:color w:val="000000"/>
                <w:sz w:val="23"/>
                <w:szCs w:val="23"/>
              </w:rPr>
            </w:r>
          </w:p>
          <w:p>
            <w:pPr>
              <w:spacing w:line="240" w:lineRule="auto"/>
              <w:ind w:firstLine="0"/>
              <w:jc w:val="center"/>
              <w:rPr>
                <w:b/>
                <w:bCs/>
                <w:color w:val="000000"/>
                <w:sz w:val="23"/>
                <w:szCs w:val="23"/>
              </w:rPr>
            </w:pPr>
            <w:r>
              <w:rPr>
                <w:b/>
                <w:bCs/>
                <w:color w:val="000000"/>
                <w:sz w:val="23"/>
                <w:szCs w:val="23"/>
              </w:rPr>
              <w:t xml:space="preserve">наркотиками</w:t>
            </w:r>
            <w:r>
              <w:rPr>
                <w:b/>
                <w:bCs/>
                <w:color w:val="000000"/>
                <w:sz w:val="23"/>
                <w:szCs w:val="23"/>
              </w:rPr>
            </w:r>
          </w:p>
        </w:tc>
        <w:tc>
          <w:tcPr>
            <w:tcW w:w="1276"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ОП9. Острые отравления </w:t>
            </w:r>
            <w:r>
              <w:rPr>
                <w:b/>
                <w:bCs/>
                <w:color w:val="000000"/>
                <w:sz w:val="23"/>
                <w:szCs w:val="23"/>
              </w:rPr>
            </w:r>
          </w:p>
          <w:p>
            <w:pPr>
              <w:spacing w:line="240" w:lineRule="auto"/>
              <w:ind w:firstLine="0"/>
              <w:jc w:val="center"/>
              <w:rPr>
                <w:b/>
                <w:bCs/>
                <w:color w:val="000000"/>
                <w:sz w:val="23"/>
                <w:szCs w:val="23"/>
              </w:rPr>
            </w:pPr>
            <w:r>
              <w:rPr>
                <w:b/>
                <w:bCs/>
                <w:color w:val="000000"/>
                <w:sz w:val="23"/>
                <w:szCs w:val="23"/>
              </w:rPr>
              <w:t xml:space="preserve">наркотиками среди несовершеннолетних</w:t>
            </w:r>
            <w:r>
              <w:rPr>
                <w:b/>
                <w:bCs/>
                <w:color w:val="000000"/>
                <w:sz w:val="23"/>
                <w:szCs w:val="23"/>
              </w:rPr>
            </w:r>
          </w:p>
        </w:tc>
        <w:tc>
          <w:tcPr>
            <w:tcW w:w="1233" w:type="dxa"/>
            <w:vMerge w:val="restart"/>
            <w:tcBorders>
              <w:top w:val="single" w:color="auto" w:sz="4" w:space="0"/>
              <w:left w:val="single" w:color="auto" w:sz="4" w:space="0"/>
              <w:bottom w:val="single" w:color="000000" w:sz="4" w:space="0"/>
              <w:right w:val="single" w:color="auto" w:sz="4" w:space="0"/>
            </w:tcBorders>
            <w:noWrap w:val="false"/>
            <w:textDirection w:val="btLr"/>
            <w:vAlign w:val="center"/>
          </w:tcPr>
          <w:p>
            <w:pPr>
              <w:spacing w:line="240" w:lineRule="auto"/>
              <w:ind w:firstLine="0"/>
              <w:jc w:val="center"/>
              <w:rPr>
                <w:b/>
                <w:bCs/>
                <w:color w:val="000000"/>
                <w:sz w:val="23"/>
                <w:szCs w:val="23"/>
              </w:rPr>
            </w:pPr>
            <w:r>
              <w:rPr>
                <w:b/>
                <w:bCs/>
                <w:color w:val="000000"/>
                <w:sz w:val="23"/>
                <w:szCs w:val="23"/>
              </w:rPr>
              <w:t xml:space="preserve">ОП10. Смертность, связанная </w:t>
            </w:r>
            <w:r>
              <w:rPr>
                <w:b/>
                <w:bCs/>
                <w:color w:val="000000"/>
                <w:sz w:val="23"/>
                <w:szCs w:val="23"/>
              </w:rPr>
            </w:r>
          </w:p>
          <w:p>
            <w:pPr>
              <w:spacing w:line="240" w:lineRule="auto"/>
              <w:ind w:firstLine="0"/>
              <w:jc w:val="center"/>
              <w:rPr>
                <w:b/>
                <w:bCs/>
                <w:color w:val="000000"/>
                <w:sz w:val="23"/>
                <w:szCs w:val="23"/>
              </w:rPr>
            </w:pPr>
            <w:r>
              <w:rPr>
                <w:b/>
                <w:bCs/>
                <w:color w:val="000000"/>
                <w:sz w:val="23"/>
                <w:szCs w:val="23"/>
              </w:rPr>
              <w:t xml:space="preserve">с острым отравлением наркотиками</w:t>
            </w:r>
            <w:r>
              <w:rPr>
                <w:b/>
                <w:bCs/>
                <w:color w:val="000000"/>
                <w:sz w:val="23"/>
                <w:szCs w:val="23"/>
              </w:rPr>
            </w:r>
          </w:p>
        </w:tc>
        <w:tc>
          <w:tcPr>
            <w:tcW w:w="1318" w:type="dxa"/>
            <w:vMerge w:val="restart"/>
            <w:tcBorders>
              <w:top w:val="single" w:color="auto" w:sz="4" w:space="0"/>
              <w:left w:val="single" w:color="auto" w:sz="4" w:space="0"/>
              <w:bottom w:val="single" w:color="000000" w:sz="4" w:space="0"/>
              <w:right w:val="single" w:color="auto" w:sz="4" w:space="0"/>
            </w:tcBorders>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p>
        </w:tc>
      </w:tr>
      <w:tr>
        <w:trPr>
          <w:trHeight w:val="70"/>
          <w:tblHeader/>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1</w:t>
            </w:r>
            <w:r>
              <w:rPr>
                <w:color w:val="000000"/>
                <w:sz w:val="23"/>
                <w:szCs w:val="23"/>
              </w:rPr>
            </w:r>
          </w:p>
        </w:tc>
        <w:tc>
          <w:tcPr>
            <w:tcW w:w="124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2</w:t>
            </w:r>
            <w:r>
              <w:rPr>
                <w:color w:val="000000"/>
                <w:sz w:val="23"/>
                <w:szCs w:val="23"/>
              </w:rPr>
            </w:r>
          </w:p>
        </w:tc>
        <w:tc>
          <w:tcPr>
            <w:tcW w:w="1276"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3</w:t>
            </w:r>
            <w:r>
              <w:rPr>
                <w:color w:val="000000"/>
                <w:sz w:val="23"/>
                <w:szCs w:val="23"/>
              </w:rPr>
            </w:r>
          </w:p>
        </w:tc>
        <w:tc>
          <w:tcPr>
            <w:tcW w:w="99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4</w:t>
            </w:r>
            <w:r>
              <w:rPr>
                <w:color w:val="000000"/>
                <w:sz w:val="23"/>
                <w:szCs w:val="23"/>
              </w:rPr>
            </w:r>
          </w:p>
        </w:tc>
        <w:tc>
          <w:tcPr>
            <w:tcW w:w="1276"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5</w:t>
            </w:r>
            <w:r>
              <w:rPr>
                <w:color w:val="000000"/>
                <w:sz w:val="23"/>
                <w:szCs w:val="23"/>
              </w:rPr>
            </w:r>
          </w:p>
        </w:tc>
        <w:tc>
          <w:tcPr>
            <w:tcW w:w="1417"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6</w:t>
            </w:r>
            <w:r>
              <w:rPr>
                <w:color w:val="000000"/>
                <w:sz w:val="23"/>
                <w:szCs w:val="23"/>
              </w:rPr>
            </w:r>
          </w:p>
        </w:tc>
        <w:tc>
          <w:tcPr>
            <w:tcW w:w="1134"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7</w:t>
            </w:r>
            <w:r>
              <w:rPr>
                <w:color w:val="000000"/>
                <w:sz w:val="23"/>
                <w:szCs w:val="23"/>
              </w:rPr>
            </w:r>
          </w:p>
        </w:tc>
        <w:tc>
          <w:tcPr>
            <w:tcW w:w="1276"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8</w:t>
            </w:r>
            <w:r>
              <w:rPr>
                <w:color w:val="000000"/>
                <w:sz w:val="23"/>
                <w:szCs w:val="23"/>
              </w:rPr>
            </w:r>
          </w:p>
        </w:tc>
        <w:tc>
          <w:tcPr>
            <w:tcW w:w="1233"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9</w:t>
            </w:r>
            <w:r>
              <w:rPr>
                <w:color w:val="000000"/>
                <w:sz w:val="23"/>
                <w:szCs w:val="23"/>
              </w:rPr>
            </w:r>
          </w:p>
        </w:tc>
        <w:tc>
          <w:tcPr>
            <w:tcW w:w="131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0"/>
                <w:szCs w:val="20"/>
              </w:rPr>
              <w:t xml:space="preserve">10</w:t>
            </w:r>
            <w:r>
              <w:rPr>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43,1</w:t>
            </w:r>
            <w:r>
              <w:rPr>
                <w:b/>
                <w:bCs/>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22,6</w:t>
            </w:r>
            <w:r>
              <w:rPr>
                <w:b/>
                <w:bCs/>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39,9</w:t>
            </w:r>
            <w:r>
              <w:rPr>
                <w:b/>
                <w:bCs/>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23,7</w:t>
            </w:r>
            <w:r>
              <w:rPr>
                <w:b/>
                <w:bCs/>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bookmarkStart w:id="8" w:name="_GoBack"/>
            <w:bookmarkEnd w:id="8"/>
            <w:r>
              <w:rPr>
                <w:b/>
                <w:bCs/>
                <w:color w:val="000000"/>
                <w:sz w:val="23"/>
                <w:szCs w:val="23"/>
              </w:rPr>
              <w:t xml:space="preserve">35,7</w:t>
            </w:r>
            <w:r>
              <w:rPr>
                <w:b/>
                <w:bCs/>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23,0</w:t>
            </w:r>
            <w:r>
              <w:rPr>
                <w:b/>
                <w:bCs/>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4,5</w:t>
            </w:r>
            <w:r>
              <w:rPr>
                <w:b/>
                <w:bCs/>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28,2</w:t>
            </w:r>
            <w:r>
              <w:rPr>
                <w:b/>
                <w:bCs/>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27,6</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Ханты-Мансийск</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43,2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34,2</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72,9</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9,2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15,8</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26,2</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Когалым</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66,6</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62,8</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58,8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78,5</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30,1</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37,1</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56,3</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47,1</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43,5</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79,9</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53,3</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84,4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17,7</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77,0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48,6</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34,9</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32,8</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Нефтеюганск</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29,8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35,1</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26,4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58,5</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11,4</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8,2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14,0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22,9</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Нижневартовск</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71,0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47,9</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57,5</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55,3</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38,1</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73,1</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55,4</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Нягань</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61,7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15,6</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73,6</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26,0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53,3</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28,8</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1,3</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52,0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47,0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56,2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78,4</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23,7</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25,5</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87,0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46,2</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Радужный</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38,2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36,8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10,6</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22,8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38,8</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18,4</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Сургут</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34,9</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25,1</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44,4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12,6</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55,6</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92,8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58,2</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Урай</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44,7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39,7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70,3</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25,2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43,0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27,9</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23,8</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12,3</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29,5</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Белоярский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19,7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20,2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36,7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62,6</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17,4</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Березовский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36,0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16,3</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21,3</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9,2</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95,8</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16,3</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53,2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45,7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10,2</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21,9</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37,3</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21,0</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31,6</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23,6</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32,8</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39,4</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53,7</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22,6</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Октябрьский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23,1</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15,4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4,8</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Советский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39,1</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43,3</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41,4</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72,2</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62,2</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32,3</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Сургутский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53,1</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22,1</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50,6</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4b4b"/>
            <w:noWrap w:val="false"/>
            <w:textDirection w:val="lrTb"/>
            <w:vAlign w:val="center"/>
          </w:tcPr>
          <w:p>
            <w:pPr>
              <w:spacing w:line="240" w:lineRule="auto"/>
              <w:ind w:firstLine="0"/>
              <w:jc w:val="center"/>
              <w:rPr>
                <w:color w:val="000000"/>
                <w:sz w:val="23"/>
                <w:szCs w:val="23"/>
              </w:rPr>
            </w:pPr>
            <w:r>
              <w:rPr>
                <w:color w:val="000000"/>
                <w:sz w:val="23"/>
                <w:szCs w:val="23"/>
              </w:rPr>
              <w:t xml:space="preserve">100,0</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39,9</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68,1</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41,7</w:t>
            </w:r>
            <w:r>
              <w:rPr>
                <w:b/>
                <w:bCs/>
                <w:color w:val="000000"/>
                <w:sz w:val="23"/>
                <w:szCs w:val="23"/>
              </w:rPr>
            </w:r>
          </w:p>
        </w:tc>
      </w:tr>
      <w:tr>
        <w:trPr>
          <w:trHeight w:val="170"/>
        </w:trPr>
        <w:tc>
          <w:tcPr>
            <w:tcW w:w="3593"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Ханты-Мансийский район</w:t>
            </w:r>
            <w:r>
              <w:rPr>
                <w:color w:val="000000"/>
                <w:sz w:val="23"/>
                <w:szCs w:val="23"/>
              </w:rPr>
            </w:r>
          </w:p>
        </w:tc>
        <w:tc>
          <w:tcPr>
            <w:tcW w:w="124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0,2</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992"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4,3</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417"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25,3</w:t>
            </w:r>
            <w:r>
              <w:rPr>
                <w:color w:val="000000"/>
                <w:sz w:val="23"/>
                <w:szCs w:val="23"/>
              </w:rPr>
            </w:r>
          </w:p>
        </w:tc>
        <w:tc>
          <w:tcPr>
            <w:tcW w:w="1134"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76"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23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0,0</w:t>
            </w:r>
            <w:r>
              <w:rPr>
                <w:color w:val="000000"/>
                <w:sz w:val="23"/>
                <w:szCs w:val="23"/>
              </w:rPr>
            </w:r>
          </w:p>
        </w:tc>
        <w:tc>
          <w:tcPr>
            <w:tcW w:w="1318"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3,7</w:t>
            </w:r>
            <w:r>
              <w:rPr>
                <w:b/>
                <w:bCs/>
                <w:color w:val="000000"/>
                <w:sz w:val="23"/>
                <w:szCs w:val="23"/>
              </w:rPr>
            </w:r>
          </w:p>
        </w:tc>
      </w:tr>
    </w:tbl>
    <w:p>
      <w:pPr>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spacing w:line="240" w:lineRule="auto"/>
        <w:ind w:left="108" w:firstLine="0"/>
        <w:jc w:val="left"/>
        <w:rPr>
          <w:b/>
          <w:bCs/>
          <w:color w:val="000000"/>
          <w:sz w:val="12"/>
          <w:szCs w:val="12"/>
        </w:rPr>
      </w:pPr>
      <w:r>
        <w:rPr>
          <w:b/>
          <w:bCs/>
          <w:color w:val="000000"/>
          <w:sz w:val="12"/>
          <w:szCs w:val="12"/>
        </w:rPr>
      </w:r>
      <w:r>
        <w:rPr>
          <w:b/>
          <w:bCs/>
          <w:color w:val="000000"/>
          <w:sz w:val="12"/>
          <w:szCs w:val="12"/>
        </w:rPr>
      </w:r>
    </w:p>
    <w:p>
      <w:pPr>
        <w:spacing w:line="240" w:lineRule="auto"/>
        <w:ind w:firstLine="709"/>
        <w:jc w:val="right"/>
      </w:pPr>
      <w:r>
        <mc:AlternateContent>
          <mc:Choice Requires="wpg">
            <w:drawing>
              <wp:inline xmlns:wp="http://schemas.openxmlformats.org/drawingml/2006/wordprocessingDrawing" distT="0" distB="0" distL="0" distR="0">
                <wp:extent cx="3627122" cy="823765"/>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r/>
                      </pic:nvPicPr>
                      <pic:blipFill>
                        <a:blip r:embed="rId42"/>
                        <a:stretch/>
                      </pic:blipFill>
                      <pic:spPr bwMode="auto">
                        <a:xfrm>
                          <a:off x="0" y="0"/>
                          <a:ext cx="3693200" cy="8387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85.6pt;height:64.9pt;mso-wrap-distance-left:0.0pt;mso-wrap-distance-top:0.0pt;mso-wrap-distance-right:0.0pt;mso-wrap-distance-bottom:0.0pt;" stroked="false">
                <v:path textboxrect="0,0,0,0"/>
                <v:imagedata r:id="rId42" o:title=""/>
              </v:shape>
            </w:pict>
          </mc:Fallback>
        </mc:AlternateContent>
      </w:r>
    </w:p>
    <w:p>
      <w:pPr>
        <w:spacing w:line="240" w:lineRule="auto"/>
        <w:ind w:firstLine="709"/>
        <w:jc w:val="right"/>
      </w:pPr>
    </w:p>
    <w:p>
      <w:pPr>
        <w:spacing w:line="240" w:lineRule="auto"/>
        <w:ind w:firstLine="709"/>
        <w:sectPr>
          <w:footnotePr/>
          <w:endnotePr/>
          <w:type w:val="nextPage"/>
          <w:pgSz w:w="16838" w:h="11906" w:orient="landscape"/>
          <w:pgMar w:top="1701" w:right="1134" w:bottom="851" w:left="1134" w:header="709" w:footer="709" w:gutter="0"/>
          <w:cols w:num="1" w:sep="0" w:space="708" w:equalWidth="1"/>
          <w:docGrid w:linePitch="360"/>
        </w:sectPr>
      </w:pP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5.jpg"/>
                        <pic:cNvPicPr>
                          <a:picLocks noChangeAspect="1"/>
                        </pic:cNvPicPr>
                        <pic:nvPr/>
                      </pic:nvPicPr>
                      <pic:blipFill>
                        <a:blip r:embed="rId43"/>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728.5pt;height:424.2pt;mso-wrap-distance-left:0.0pt;mso-wrap-distance-top:0.0pt;mso-wrap-distance-right:0.0pt;mso-wrap-distance-bottom:0.0pt;" stroked="false">
                <v:path textboxrect="0,0,0,0"/>
                <v:imagedata r:id="rId43" o:title=""/>
              </v:shape>
            </w:pict>
          </mc:Fallback>
        </mc:AlternateContent>
      </w:r>
    </w:p>
    <w:p>
      <w:pPr>
        <w:spacing w:line="240" w:lineRule="auto"/>
        <w:ind w:firstLine="0"/>
        <w:jc w:val="center"/>
      </w:pPr>
      <w:r>
        <w:t xml:space="preserve">Рис.19. Критерий оценки развития наркоситуации по оценочному показателю наркоситуации</w:t>
      </w:r>
    </w:p>
    <w:p>
      <w:pPr>
        <w:spacing w:line="240" w:lineRule="auto"/>
        <w:ind w:firstLine="0"/>
        <w:jc w:val="center"/>
        <w:rPr>
          <w:bCs/>
        </w:rPr>
      </w:pPr>
      <w:r>
        <w:rPr>
          <w:bCs/>
        </w:rPr>
        <mc:AlternateContent>
          <mc:Choice Requires="wpg">
            <w:drawing>
              <wp:inline xmlns:wp="http://schemas.openxmlformats.org/drawingml/2006/wordprocessingDrawing" distT="0" distB="0" distL="0" distR="0">
                <wp:extent cx="9251950" cy="5387340"/>
                <wp:effectExtent l="0" t="0" r="6350" b="381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5.jpg"/>
                        <pic:cNvPicPr>
                          <a:picLocks noChangeAspect="1"/>
                        </pic:cNvPicPr>
                        <pic:nvPr/>
                      </pic:nvPicPr>
                      <pic:blipFill>
                        <a:blip r:embed="rId44"/>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28.5pt;height:424.2pt;mso-wrap-distance-left:0.0pt;mso-wrap-distance-top:0.0pt;mso-wrap-distance-right:0.0pt;mso-wrap-distance-bottom:0.0pt;" stroked="false">
                <v:path textboxrect="0,0,0,0"/>
                <v:imagedata r:id="rId44" o:title=""/>
              </v:shape>
            </w:pict>
          </mc:Fallback>
        </mc:AlternateContent>
      </w:r>
      <w:r>
        <w:rPr>
          <w:bCs/>
        </w:rPr>
      </w:r>
    </w:p>
    <w:p>
      <w:pPr>
        <w:spacing w:line="240" w:lineRule="auto"/>
        <w:ind w:firstLine="0"/>
        <w:jc w:val="center"/>
        <w:rPr>
          <w:bCs/>
        </w:rPr>
      </w:pPr>
      <w:r>
        <w:t xml:space="preserve">Рис. 20.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5.jpg"/>
                        <pic:cNvPicPr>
                          <a:picLocks noChangeAspect="1"/>
                        </pic:cNvPicPr>
                        <pic:nvPr/>
                      </pic:nvPicPr>
                      <pic:blipFill>
                        <a:blip r:embed="rId45"/>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28.5pt;height:424.2pt;mso-wrap-distance-left:0.0pt;mso-wrap-distance-top:0.0pt;mso-wrap-distance-right:0.0pt;mso-wrap-distance-bottom:0.0pt;" stroked="false">
                <v:path textboxrect="0,0,0,0"/>
                <v:imagedata r:id="rId45" o:title=""/>
              </v:shape>
            </w:pict>
          </mc:Fallback>
        </mc:AlternateContent>
      </w:r>
    </w:p>
    <w:p>
      <w:pPr>
        <w:spacing w:line="240" w:lineRule="auto"/>
        <w:ind w:firstLine="0"/>
        <w:jc w:val="center"/>
        <w:rPr>
          <w:bCs/>
        </w:rPr>
      </w:pPr>
      <w:r>
        <w:t xml:space="preserve">Рис. 21.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5.jpg"/>
                        <pic:cNvPicPr>
                          <a:picLocks noChangeAspect="1"/>
                        </pic:cNvPicPr>
                        <pic:nvPr/>
                      </pic:nvPicPr>
                      <pic:blipFill>
                        <a:blip r:embed="rId46"/>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28.5pt;height:424.2pt;mso-wrap-distance-left:0.0pt;mso-wrap-distance-top:0.0pt;mso-wrap-distance-right:0.0pt;mso-wrap-distance-bottom:0.0pt;" stroked="false">
                <v:path textboxrect="0,0,0,0"/>
                <v:imagedata r:id="rId46" o:title=""/>
              </v:shape>
            </w:pict>
          </mc:Fallback>
        </mc:AlternateContent>
      </w:r>
    </w:p>
    <w:p>
      <w:pPr>
        <w:spacing w:line="240" w:lineRule="auto"/>
        <w:ind w:firstLine="0"/>
        <w:jc w:val="center"/>
        <w:rPr>
          <w:bCs/>
        </w:rPr>
      </w:pPr>
      <w:r>
        <w:t xml:space="preserve">Рис. 22.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19780" name="Рисунок 156672929"/>
                        <pic:cNvPicPr>
                          <a:picLocks noChangeAspect="1"/>
                        </pic:cNvPicPr>
                        <pic:nvPr/>
                      </pic:nvPicPr>
                      <pic:blipFill>
                        <a:blip r:embed="rId47"/>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8.5pt;height:424.2pt;mso-wrap-distance-left:0.0pt;mso-wrap-distance-top:0.0pt;mso-wrap-distance-right:0.0pt;mso-wrap-distance-bottom:0.0pt;" stroked="false">
                <v:path textboxrect="0,0,0,0"/>
                <v:imagedata r:id="rId47" o:title=""/>
              </v:shape>
            </w:pict>
          </mc:Fallback>
        </mc:AlternateContent>
      </w:r>
    </w:p>
    <w:p>
      <w:pPr>
        <w:spacing w:line="240" w:lineRule="auto"/>
        <w:ind w:firstLine="0"/>
        <w:jc w:val="center"/>
        <w:rPr>
          <w:bCs/>
        </w:rPr>
      </w:pPr>
      <w:r>
        <w:t xml:space="preserve">Рис. 23. Критерий оценки развития наркоситуации по оценочному показателю наркоситуации</w:t>
      </w:r>
      <w:r>
        <w:rPr>
          <w:bCs/>
        </w:rPr>
      </w:r>
    </w:p>
    <w:p>
      <w:pPr>
        <w:spacing w:line="240" w:lineRule="auto"/>
        <w:ind w:firstLine="0"/>
        <w:jc w:val="center"/>
        <w:rPr>
          <w:bCs/>
        </w:rPr>
      </w:pPr>
      <w:r>
        <mc:AlternateContent>
          <mc:Choice Requires="wpg">
            <w:drawing>
              <wp:inline xmlns:wp="http://schemas.openxmlformats.org/drawingml/2006/wordprocessingDrawing" distT="0" distB="0" distL="0" distR="0">
                <wp:extent cx="9251950" cy="5387340"/>
                <wp:effectExtent l="0" t="0" r="6350" b="381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56095" name="Рисунок 698544157"/>
                        <pic:cNvPicPr>
                          <a:picLocks noChangeAspect="1"/>
                        </pic:cNvPicPr>
                        <pic:nvPr/>
                      </pic:nvPicPr>
                      <pic:blipFill>
                        <a:blip r:embed="rId48"/>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728.5pt;height:424.2pt;mso-wrap-distance-left:0.0pt;mso-wrap-distance-top:0.0pt;mso-wrap-distance-right:0.0pt;mso-wrap-distance-bottom:0.0pt;" stroked="false">
                <v:path textboxrect="0,0,0,0"/>
                <v:imagedata r:id="rId48" o:title=""/>
              </v:shape>
            </w:pict>
          </mc:Fallback>
        </mc:AlternateContent>
      </w:r>
      <w:r>
        <w:rPr>
          <w:bCs/>
        </w:rPr>
      </w:r>
    </w:p>
    <w:p>
      <w:pPr>
        <w:spacing w:line="240" w:lineRule="auto"/>
        <w:ind w:firstLine="0"/>
        <w:jc w:val="center"/>
        <w:rPr>
          <w:bCs/>
        </w:rPr>
      </w:pPr>
      <w:r>
        <w:t xml:space="preserve">Рис. 24.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1545" name="Рисунок 1752611545"/>
                        <pic:cNvPicPr>
                          <a:picLocks noChangeAspect="1"/>
                        </pic:cNvPicPr>
                        <pic:nvPr/>
                      </pic:nvPicPr>
                      <pic:blipFill>
                        <a:blip r:embed="rId49"/>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728.5pt;height:424.2pt;mso-wrap-distance-left:0.0pt;mso-wrap-distance-top:0.0pt;mso-wrap-distance-right:0.0pt;mso-wrap-distance-bottom:0.0pt;" stroked="false">
                <v:path textboxrect="0,0,0,0"/>
                <v:imagedata r:id="rId49" o:title=""/>
              </v:shape>
            </w:pict>
          </mc:Fallback>
        </mc:AlternateContent>
      </w:r>
    </w:p>
    <w:p>
      <w:pPr>
        <w:spacing w:line="240" w:lineRule="auto"/>
        <w:ind w:firstLine="0"/>
        <w:jc w:val="center"/>
        <w:rPr>
          <w:bCs/>
        </w:rPr>
      </w:pPr>
      <w:r>
        <w:t xml:space="preserve">Рис. 25.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5.jpg"/>
                        <pic:cNvPicPr>
                          <a:picLocks noChangeAspect="1"/>
                        </pic:cNvPicPr>
                        <pic:nvPr/>
                      </pic:nvPicPr>
                      <pic:blipFill>
                        <a:blip r:embed="rId50"/>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728.5pt;height:424.2pt;mso-wrap-distance-left:0.0pt;mso-wrap-distance-top:0.0pt;mso-wrap-distance-right:0.0pt;mso-wrap-distance-bottom:0.0pt;" stroked="false">
                <v:path textboxrect="0,0,0,0"/>
                <v:imagedata r:id="rId50" o:title=""/>
              </v:shape>
            </w:pict>
          </mc:Fallback>
        </mc:AlternateContent>
      </w:r>
    </w:p>
    <w:p>
      <w:pPr>
        <w:spacing w:line="240" w:lineRule="auto"/>
        <w:ind w:firstLine="0"/>
        <w:jc w:val="center"/>
        <w:rPr>
          <w:bCs/>
        </w:rPr>
      </w:pPr>
      <w:r>
        <w:t xml:space="preserve">Рис. 26. Критерий оценки развития наркоситуации по оценочному показателю наркоситуации</w:t>
      </w:r>
      <w:r>
        <w:rPr>
          <w:bCs/>
        </w:rPr>
      </w:r>
    </w:p>
    <w:p>
      <w:pPr>
        <w:spacing w:line="240" w:lineRule="auto"/>
        <w:ind w:firstLine="0"/>
        <w:jc w:val="center"/>
      </w:pPr>
      <w:r>
        <mc:AlternateContent>
          <mc:Choice Requires="wpg">
            <w:drawing>
              <wp:inline xmlns:wp="http://schemas.openxmlformats.org/drawingml/2006/wordprocessingDrawing" distT="0" distB="0" distL="0" distR="0">
                <wp:extent cx="9251950" cy="5387340"/>
                <wp:effectExtent l="0" t="0" r="6350" b="381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21233" name="Рисунок 1924321233"/>
                        <pic:cNvPicPr>
                          <a:picLocks noChangeAspect="1"/>
                        </pic:cNvPicPr>
                        <pic:nvPr/>
                      </pic:nvPicPr>
                      <pic:blipFill>
                        <a:blip r:embed="rId51"/>
                        <a:stretch/>
                      </pic:blipFill>
                      <pic:spPr bwMode="auto">
                        <a:xfrm>
                          <a:off x="0" y="0"/>
                          <a:ext cx="9251950" cy="53873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728.5pt;height:424.2pt;mso-wrap-distance-left:0.0pt;mso-wrap-distance-top:0.0pt;mso-wrap-distance-right:0.0pt;mso-wrap-distance-bottom:0.0pt;" stroked="false">
                <v:path textboxrect="0,0,0,0"/>
                <v:imagedata r:id="rId51" o:title=""/>
              </v:shape>
            </w:pict>
          </mc:Fallback>
        </mc:AlternateContent>
      </w:r>
    </w:p>
    <w:p>
      <w:pPr>
        <w:spacing w:line="240" w:lineRule="auto"/>
        <w:ind w:firstLine="0"/>
        <w:jc w:val="center"/>
        <w:rPr>
          <w:bCs/>
        </w:rPr>
      </w:pPr>
      <w:r>
        <w:t xml:space="preserve">Рис. 27. Предварительная итоговая оценка наркоситуации в динамике</w:t>
      </w:r>
      <w:r>
        <w:rPr>
          <w:bCs/>
        </w:rPr>
        <w:t xml:space="preserve"> (картограмма)</w:t>
      </w:r>
      <w:r>
        <w:rPr>
          <w:bCs/>
        </w:rPr>
      </w:r>
    </w:p>
    <w:p>
      <w:pPr>
        <w:spacing w:line="240" w:lineRule="auto"/>
        <w:ind w:firstLine="0"/>
        <w:jc w:val="center"/>
        <w:rPr>
          <w:b/>
        </w:rPr>
        <w:sectPr>
          <w:footnotePr/>
          <w:endnotePr/>
          <w:type w:val="nextPage"/>
          <w:pgSz w:w="16838" w:h="11906" w:orient="landscape"/>
          <w:pgMar w:top="1701" w:right="1134" w:bottom="851" w:left="1134" w:header="709" w:footer="361" w:gutter="0"/>
          <w:cols w:num="1" w:sep="0" w:space="708" w:equalWidth="1"/>
          <w:docGrid w:linePitch="360"/>
        </w:sectPr>
      </w:pPr>
      <w:r>
        <w:rPr>
          <w:b/>
        </w:rPr>
      </w:r>
      <w:r>
        <w:rPr>
          <w:b/>
        </w:rPr>
      </w:r>
    </w:p>
    <w:p>
      <w:pPr>
        <w:spacing w:line="240" w:lineRule="auto"/>
        <w:ind w:firstLine="709"/>
        <w:jc w:val="right"/>
      </w:pPr>
      <w:r>
        <w:t xml:space="preserve">Таблица 8</w:t>
      </w:r>
    </w:p>
    <w:p>
      <w:pPr>
        <w:spacing w:line="240" w:lineRule="auto"/>
        <w:ind w:firstLine="0"/>
        <w:jc w:val="center"/>
        <w:rPr>
          <w:b/>
        </w:rPr>
      </w:pPr>
      <w:r>
        <w:rPr>
          <w:b/>
        </w:rPr>
        <w:t xml:space="preserve">Предварительная итоговая оценка наркоситуации в разрезе муниципальных образований </w:t>
      </w:r>
      <w:r>
        <w:rPr>
          <w:b/>
        </w:rPr>
        <w:br/>
        <w:t xml:space="preserve">ХМАО-Югры в динамике за 2023-2025 годы, в баллах</w:t>
      </w:r>
      <w:r>
        <w:rPr>
          <w:b/>
        </w:rPr>
      </w:r>
    </w:p>
    <w:tbl>
      <w:tblPr>
        <w:tblW w:w="14757" w:type="dxa"/>
        <w:tblInd w:w="93" w:type="dxa"/>
        <w:tblLayout w:type="fixed"/>
        <w:tblLook w:val="04A0" w:firstRow="1" w:lastRow="0" w:firstColumn="1" w:lastColumn="0" w:noHBand="0" w:noVBand="1"/>
      </w:tblPr>
      <w:tblGrid>
        <w:gridCol w:w="4551"/>
        <w:gridCol w:w="1985"/>
        <w:gridCol w:w="1843"/>
        <w:gridCol w:w="1842"/>
        <w:gridCol w:w="2268"/>
        <w:gridCol w:w="2268"/>
      </w:tblGrid>
      <w:tr>
        <w:trPr>
          <w:trHeight w:val="283"/>
        </w:trPr>
        <w:tc>
          <w:tcPr>
            <w:tcW w:w="4551" w:type="dxa"/>
            <w:vMerge w:val="restart"/>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Муниципальное образование</w:t>
            </w:r>
            <w:r>
              <w:rPr>
                <w:color w:val="000000"/>
                <w:sz w:val="23"/>
                <w:szCs w:val="23"/>
              </w:rPr>
            </w:r>
          </w:p>
        </w:tc>
        <w:tc>
          <w:tcPr>
            <w:tcW w:w="5670" w:type="dxa"/>
            <w:gridSpan w:val="3"/>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p>
        </w:tc>
        <w:tc>
          <w:tcPr>
            <w:tcW w:w="4536" w:type="dxa"/>
            <w:gridSpan w:val="2"/>
            <w:tcBorders>
              <w:top w:val="single" w:color="auto"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Динамика показателя за 2023-2025 гг.</w:t>
            </w:r>
            <w:r>
              <w:rPr>
                <w:b/>
                <w:bCs/>
                <w:color w:val="000000"/>
                <w:sz w:val="23"/>
                <w:szCs w:val="23"/>
              </w:rPr>
            </w:r>
          </w:p>
        </w:tc>
      </w:tr>
      <w:tr>
        <w:trPr>
          <w:trHeight w:val="283"/>
        </w:trPr>
        <w:tc>
          <w:tcPr>
            <w:tcW w:w="4551" w:type="dxa"/>
            <w:vMerge w:val="continue"/>
            <w:tcBorders>
              <w:top w:val="single" w:color="auto"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r>
            <w:r>
              <w:rPr>
                <w:color w:val="000000"/>
                <w:sz w:val="23"/>
                <w:szCs w:val="23"/>
              </w:rPr>
            </w:r>
          </w:p>
        </w:tc>
        <w:tc>
          <w:tcPr>
            <w:tcW w:w="1985"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2023 год</w:t>
            </w:r>
            <w:r>
              <w:rPr>
                <w:color w:val="000000"/>
                <w:sz w:val="23"/>
                <w:szCs w:val="23"/>
              </w:rPr>
            </w:r>
          </w:p>
        </w:tc>
        <w:tc>
          <w:tcPr>
            <w:tcW w:w="1843"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2024 год</w:t>
            </w:r>
            <w:r>
              <w:rPr>
                <w:color w:val="000000"/>
                <w:sz w:val="23"/>
                <w:szCs w:val="23"/>
              </w:rPr>
            </w:r>
          </w:p>
        </w:tc>
        <w:tc>
          <w:tcPr>
            <w:tcW w:w="1842"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2025 год</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2025 к значению 2024 года</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2025 к значению 2023 года</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b/>
                <w:bCs/>
                <w:color w:val="000000"/>
                <w:sz w:val="23"/>
                <w:szCs w:val="23"/>
              </w:rPr>
            </w:pPr>
            <w:r>
              <w:rPr>
                <w:b/>
                <w:bCs/>
                <w:color w:val="000000"/>
                <w:sz w:val="23"/>
                <w:szCs w:val="23"/>
              </w:rPr>
              <w:t xml:space="preserve">Ханты-Мансийский автономный </w:t>
            </w:r>
            <w:r>
              <w:rPr>
                <w:b/>
                <w:bCs/>
                <w:color w:val="000000"/>
                <w:sz w:val="23"/>
                <w:szCs w:val="23"/>
              </w:rPr>
              <w:br/>
              <w:t xml:space="preserve">округ - Югра</w:t>
            </w:r>
            <w:r>
              <w:rPr>
                <w:b/>
                <w:bCs/>
                <w:color w:val="000000"/>
                <w:sz w:val="23"/>
                <w:szCs w:val="23"/>
              </w:rPr>
            </w:r>
          </w:p>
        </w:tc>
        <w:tc>
          <w:tcPr>
            <w:tcW w:w="1985" w:type="dxa"/>
            <w:tcBorders>
              <w:top w:val="none" w:color="000000"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25,0</w:t>
            </w:r>
            <w:r>
              <w:rPr>
                <w:b/>
                <w:bCs/>
                <w:color w:val="000000"/>
                <w:sz w:val="23"/>
                <w:szCs w:val="23"/>
              </w:rPr>
            </w:r>
          </w:p>
        </w:tc>
        <w:tc>
          <w:tcPr>
            <w:tcW w:w="1843" w:type="dxa"/>
            <w:tcBorders>
              <w:top w:val="none" w:color="000000"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25,0</w:t>
            </w:r>
            <w:r>
              <w:rPr>
                <w:b/>
                <w:bCs/>
                <w:color w:val="000000"/>
                <w:sz w:val="23"/>
                <w:szCs w:val="23"/>
              </w:rPr>
            </w:r>
          </w:p>
        </w:tc>
        <w:tc>
          <w:tcPr>
            <w:tcW w:w="1842" w:type="dxa"/>
            <w:tcBorders>
              <w:top w:val="none" w:color="000000"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27,6</w:t>
            </w:r>
            <w:r>
              <w:rPr>
                <w:b/>
                <w:bCs/>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2,6</w:t>
            </w:r>
            <w:r>
              <w:rPr>
                <w:b/>
                <w:bCs/>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b/>
                <w:bCs/>
                <w:color w:val="000000"/>
                <w:sz w:val="23"/>
                <w:szCs w:val="23"/>
              </w:rPr>
            </w:pPr>
            <w:r>
              <w:rPr>
                <w:b/>
                <w:bCs/>
                <w:color w:val="000000"/>
                <w:sz w:val="23"/>
                <w:szCs w:val="23"/>
              </w:rPr>
              <w:t xml:space="preserve">2,6</w:t>
            </w:r>
            <w:r>
              <w:rPr>
                <w:b/>
                <w:bCs/>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Ханты-Мансийск</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37,8</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29,4</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26,2</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-3,2</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-11,6</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Когалым</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31,1</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29,3</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37,1</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7,8</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6,0</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72,2</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48,3</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53,3</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5,1</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-18,9</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41,5</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47,1</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32,8</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-14,2</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-8,7</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Нефтеюганск</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16,8</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11,6</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22,9</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11,3</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6,1</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Нижневартовск</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38,4</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39,0</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55,4</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16,3</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17,0</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Нягань</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24,1</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24,8</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28,8</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4,0</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4,6</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10,8</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20,5</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1,3</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-19,2</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-9,5</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15,7</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10,5</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46,2</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35,7</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30,5</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Радужный</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10,2</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18,7</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18,4</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-0,3</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8,2</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Сургут</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67,7</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43,2</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e28700"/>
            <w:noWrap w:val="false"/>
            <w:textDirection w:val="lrTb"/>
            <w:vAlign w:val="center"/>
          </w:tcPr>
          <w:p>
            <w:pPr>
              <w:spacing w:line="240" w:lineRule="auto"/>
              <w:ind w:firstLine="0"/>
              <w:jc w:val="center"/>
              <w:rPr>
                <w:color w:val="000000"/>
                <w:sz w:val="23"/>
                <w:szCs w:val="23"/>
              </w:rPr>
            </w:pPr>
            <w:r>
              <w:rPr>
                <w:color w:val="000000"/>
                <w:sz w:val="23"/>
                <w:szCs w:val="23"/>
              </w:rPr>
              <w:t xml:space="preserve">58,2</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14,9</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-9,5</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Урай</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38,1</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35,0</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27,9</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-7,1</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-10,2</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25,4</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34,2</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29,5</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-4,7</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4,1</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Белоярский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6,5</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1,4</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17,4</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16,1</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10,9</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Березовский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6,4</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18,2</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9,2</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-9,0</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2,8</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9,4</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30,4</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16,3</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-14,2</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6,9</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14,5</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7,5</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21,0</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13,6</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6,6</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22,1</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32,6</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22,6</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-10,0</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0,5</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Октябрьский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13,8</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3,1</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4,8</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1,7</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-9,0</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Советский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15,9</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11,3</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32,3</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21,0</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16,4</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Сургутский район</w:t>
            </w:r>
            <w:r>
              <w:rPr>
                <w:color w:val="000000"/>
                <w:sz w:val="23"/>
                <w:szCs w:val="23"/>
              </w:rPr>
            </w:r>
          </w:p>
        </w:tc>
        <w:tc>
          <w:tcPr>
            <w:tcW w:w="1985"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26,4</w:t>
            </w:r>
            <w:r>
              <w:rPr>
                <w:color w:val="000000"/>
                <w:sz w:val="23"/>
                <w:szCs w:val="23"/>
              </w:rPr>
            </w:r>
          </w:p>
        </w:tc>
        <w:tc>
          <w:tcPr>
            <w:tcW w:w="1843" w:type="dxa"/>
            <w:tcBorders>
              <w:top w:val="single" w:color="auto" w:sz="4" w:space="0"/>
              <w:left w:val="single" w:color="auto" w:sz="4" w:space="0"/>
              <w:bottom w:val="single" w:color="auto" w:sz="4" w:space="0"/>
              <w:right w:val="single" w:color="auto" w:sz="4"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30,0</w:t>
            </w:r>
            <w:r>
              <w:rPr>
                <w:color w:val="000000"/>
                <w:sz w:val="23"/>
                <w:szCs w:val="23"/>
              </w:rPr>
            </w:r>
          </w:p>
        </w:tc>
        <w:tc>
          <w:tcPr>
            <w:tcW w:w="1842" w:type="dxa"/>
            <w:tcBorders>
              <w:top w:val="single" w:color="auto" w:sz="4" w:space="0"/>
              <w:left w:val="single" w:color="auto" w:sz="4" w:space="0"/>
              <w:bottom w:val="single" w:color="auto" w:sz="4" w:space="0"/>
              <w:right w:val="single" w:color="auto" w:sz="8" w:space="0"/>
            </w:tcBorders>
            <w:shd w:val="clear" w:color="000000" w:fill="ffff52"/>
            <w:noWrap w:val="false"/>
            <w:textDirection w:val="lrTb"/>
            <w:vAlign w:val="center"/>
          </w:tcPr>
          <w:p>
            <w:pPr>
              <w:spacing w:line="240" w:lineRule="auto"/>
              <w:ind w:firstLine="0"/>
              <w:jc w:val="center"/>
              <w:rPr>
                <w:color w:val="000000"/>
                <w:sz w:val="23"/>
                <w:szCs w:val="23"/>
              </w:rPr>
            </w:pPr>
            <w:r>
              <w:rPr>
                <w:color w:val="000000"/>
                <w:sz w:val="23"/>
                <w:szCs w:val="23"/>
              </w:rPr>
              <w:t xml:space="preserve">41,7</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11,7</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15,3</w:t>
            </w:r>
            <w:r>
              <w:rPr>
                <w:color w:val="000000"/>
                <w:sz w:val="23"/>
                <w:szCs w:val="23"/>
              </w:rPr>
            </w:r>
          </w:p>
        </w:tc>
      </w:tr>
      <w:tr>
        <w:trPr>
          <w:trHeight w:val="255"/>
        </w:trPr>
        <w:tc>
          <w:tcPr>
            <w:tcW w:w="4551" w:type="dxa"/>
            <w:tcBorders>
              <w:top w:val="none" w:color="000000" w:sz="4" w:space="0"/>
              <w:left w:val="single" w:color="auto" w:sz="4" w:space="0"/>
              <w:bottom w:val="single" w:color="auto" w:sz="4" w:space="0"/>
              <w:right w:val="single" w:color="auto" w:sz="4" w:space="0"/>
            </w:tcBorders>
            <w:noWrap w:val="false"/>
            <w:textDirection w:val="lrTb"/>
            <w:vAlign w:val="center"/>
          </w:tcPr>
          <w:p>
            <w:pPr>
              <w:spacing w:line="240" w:lineRule="auto"/>
              <w:ind w:firstLine="0"/>
              <w:jc w:val="left"/>
              <w:rPr>
                <w:color w:val="000000"/>
                <w:sz w:val="23"/>
                <w:szCs w:val="23"/>
              </w:rPr>
            </w:pPr>
            <w:r>
              <w:rPr>
                <w:color w:val="000000"/>
                <w:sz w:val="23"/>
                <w:szCs w:val="23"/>
              </w:rPr>
              <w:t xml:space="preserve">Ханты-Мансийский район</w:t>
            </w:r>
            <w:r>
              <w:rPr>
                <w:color w:val="000000"/>
                <w:sz w:val="23"/>
                <w:szCs w:val="23"/>
              </w:rPr>
            </w:r>
          </w:p>
        </w:tc>
        <w:tc>
          <w:tcPr>
            <w:tcW w:w="1985" w:type="dxa"/>
            <w:tcBorders>
              <w:top w:val="single" w:color="auto" w:sz="4" w:space="0"/>
              <w:left w:val="single" w:color="auto" w:sz="4" w:space="0"/>
              <w:bottom w:val="single" w:color="auto" w:sz="8"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4,3</w:t>
            </w:r>
            <w:r>
              <w:rPr>
                <w:color w:val="000000"/>
                <w:sz w:val="23"/>
                <w:szCs w:val="23"/>
              </w:rPr>
            </w:r>
          </w:p>
        </w:tc>
        <w:tc>
          <w:tcPr>
            <w:tcW w:w="1843" w:type="dxa"/>
            <w:tcBorders>
              <w:top w:val="single" w:color="auto" w:sz="4" w:space="0"/>
              <w:left w:val="single" w:color="auto" w:sz="4" w:space="0"/>
              <w:bottom w:val="single" w:color="auto" w:sz="8" w:space="0"/>
              <w:right w:val="single" w:color="auto" w:sz="4"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23,8</w:t>
            </w:r>
            <w:r>
              <w:rPr>
                <w:color w:val="000000"/>
                <w:sz w:val="23"/>
                <w:szCs w:val="23"/>
              </w:rPr>
            </w:r>
          </w:p>
        </w:tc>
        <w:tc>
          <w:tcPr>
            <w:tcW w:w="1842" w:type="dxa"/>
            <w:tcBorders>
              <w:top w:val="single" w:color="auto" w:sz="4" w:space="0"/>
              <w:left w:val="single" w:color="auto" w:sz="4" w:space="0"/>
              <w:bottom w:val="single" w:color="auto" w:sz="8" w:space="0"/>
              <w:right w:val="single" w:color="auto" w:sz="8" w:space="0"/>
            </w:tcBorders>
            <w:shd w:val="clear" w:color="000000" w:fill="afdd7d"/>
            <w:noWrap w:val="false"/>
            <w:textDirection w:val="lrTb"/>
            <w:vAlign w:val="center"/>
          </w:tcPr>
          <w:p>
            <w:pPr>
              <w:spacing w:line="240" w:lineRule="auto"/>
              <w:ind w:firstLine="0"/>
              <w:jc w:val="center"/>
              <w:rPr>
                <w:color w:val="000000"/>
                <w:sz w:val="23"/>
                <w:szCs w:val="23"/>
              </w:rPr>
            </w:pPr>
            <w:r>
              <w:rPr>
                <w:color w:val="000000"/>
                <w:sz w:val="23"/>
                <w:szCs w:val="23"/>
              </w:rPr>
              <w:t xml:space="preserve">3,7</w:t>
            </w:r>
            <w:r>
              <w:rPr>
                <w:color w:val="000000"/>
                <w:sz w:val="23"/>
                <w:szCs w:val="23"/>
              </w:rPr>
            </w:r>
          </w:p>
        </w:tc>
        <w:tc>
          <w:tcPr>
            <w:tcW w:w="2268" w:type="dxa"/>
            <w:tcBorders>
              <w:top w:val="none" w:color="000000" w:sz="4" w:space="0"/>
              <w:left w:val="none" w:color="000000" w:sz="4" w:space="0"/>
              <w:bottom w:val="single" w:color="auto" w:sz="4" w:space="0"/>
              <w:right w:val="single" w:color="auto" w:sz="4"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-20,1</w:t>
            </w:r>
            <w:r>
              <w:rPr>
                <w:color w:val="000000"/>
                <w:sz w:val="23"/>
                <w:szCs w:val="23"/>
              </w:rPr>
            </w:r>
          </w:p>
        </w:tc>
        <w:tc>
          <w:tcPr>
            <w:tcW w:w="2268" w:type="dxa"/>
            <w:tcBorders>
              <w:top w:val="none" w:color="000000" w:sz="4" w:space="0"/>
              <w:left w:val="none" w:color="000000" w:sz="4" w:space="0"/>
              <w:bottom w:val="single" w:color="auto" w:sz="4" w:space="0"/>
              <w:right w:val="single" w:color="auto" w:sz="8" w:space="0"/>
            </w:tcBorders>
            <w:noWrap w:val="false"/>
            <w:textDirection w:val="lrTb"/>
            <w:vAlign w:val="center"/>
          </w:tcPr>
          <w:p>
            <w:pPr>
              <w:spacing w:line="240" w:lineRule="auto"/>
              <w:ind w:firstLine="0"/>
              <w:jc w:val="center"/>
              <w:rPr>
                <w:color w:val="000000"/>
                <w:sz w:val="23"/>
                <w:szCs w:val="23"/>
              </w:rPr>
            </w:pPr>
            <w:r>
              <w:rPr>
                <w:color w:val="000000"/>
                <w:sz w:val="23"/>
                <w:szCs w:val="23"/>
              </w:rPr>
              <w:t xml:space="preserve">-0,5</w:t>
            </w:r>
            <w:r>
              <w:rPr>
                <w:color w:val="000000"/>
                <w:sz w:val="23"/>
                <w:szCs w:val="23"/>
              </w:rPr>
            </w:r>
          </w:p>
        </w:tc>
      </w:tr>
    </w:tbl>
    <w:p>
      <w:pPr>
        <w:spacing w:line="276" w:lineRule="auto"/>
        <w:ind w:firstLine="709"/>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p>
    <w:p>
      <w:pPr>
        <w:spacing w:line="276" w:lineRule="auto"/>
        <w:ind w:firstLine="709"/>
      </w:pPr>
      <w:r>
        <w:t xml:space="preserve">Таким образом, значение предварительной итоговой оценки за 2025 год позволяет интерпретировать </w:t>
      </w:r>
      <w:r>
        <w:t xml:space="preserve">наркоситуацию</w:t>
      </w:r>
      <w:r>
        <w:t xml:space="preserve"> в Ханты-Мансийском автономном округе – Югре как </w:t>
      </w:r>
      <w:r>
        <w:rPr>
          <w:b/>
          <w:bCs/>
          <w:i/>
          <w:iCs/>
        </w:rPr>
        <w:t xml:space="preserve">напряженную</w:t>
      </w:r>
      <w:r>
        <w:t xml:space="preserve"> (27,6 балла из 100 возможных). В сравнении с 2023-2024 годами ситуация ухудшилась (+2,6 - +2,7 балла).</w:t>
      </w:r>
    </w:p>
    <w:p>
      <w:pPr>
        <w:spacing w:line="276" w:lineRule="auto"/>
        <w:ind w:firstLine="709"/>
        <w:rPr>
          <w:color w:val="000000"/>
        </w:rPr>
      </w:pPr>
      <w:r>
        <w:rPr>
          <w:bCs/>
          <w:iCs/>
        </w:rPr>
        <w:t xml:space="preserve">В 2025 году </w:t>
      </w:r>
      <w:r>
        <w:rPr>
          <w:b/>
          <w:bCs/>
          <w:i/>
          <w:iCs/>
        </w:rPr>
        <w:t xml:space="preserve">предкризисная</w:t>
      </w:r>
      <w:r>
        <w:rPr>
          <w:bCs/>
          <w:iCs/>
        </w:rPr>
        <w:t xml:space="preserve"> ситуация зафиксирована в городах </w:t>
      </w:r>
      <w:r>
        <w:rPr>
          <w:color w:val="000000"/>
        </w:rPr>
        <w:t xml:space="preserve">Лангепас</w:t>
      </w:r>
      <w:r>
        <w:rPr>
          <w:color w:val="000000"/>
        </w:rPr>
        <w:t xml:space="preserve">, Нижневартовск и Сургут.</w:t>
      </w:r>
      <w:r>
        <w:rPr>
          <w:color w:val="000000"/>
        </w:rPr>
      </w:r>
    </w:p>
    <w:p>
      <w:pPr>
        <w:spacing w:line="276" w:lineRule="auto"/>
        <w:ind w:firstLine="709"/>
        <w:rPr>
          <w:color w:val="000000"/>
        </w:rPr>
      </w:pPr>
      <w:r>
        <w:rPr>
          <w:bCs/>
          <w:iCs/>
        </w:rPr>
        <w:t xml:space="preserve">Д</w:t>
      </w:r>
      <w:r>
        <w:t xml:space="preserve">ля городов </w:t>
      </w:r>
      <w:r>
        <w:rPr>
          <w:color w:val="000000"/>
        </w:rPr>
        <w:t xml:space="preserve">Ханты-Мансийск, Когалым, </w:t>
      </w:r>
      <w:r>
        <w:rPr>
          <w:color w:val="000000"/>
        </w:rPr>
        <w:t xml:space="preserve">Мегион</w:t>
      </w:r>
      <w:r>
        <w:rPr>
          <w:color w:val="000000"/>
        </w:rPr>
        <w:t xml:space="preserve">, Нягань, </w:t>
      </w:r>
      <w:r>
        <w:rPr>
          <w:color w:val="000000"/>
        </w:rPr>
        <w:t xml:space="preserve">Пыть-Ях</w:t>
      </w:r>
      <w:r>
        <w:rPr>
          <w:color w:val="000000"/>
        </w:rPr>
        <w:t xml:space="preserve">, Урай и </w:t>
      </w:r>
      <w:r>
        <w:rPr>
          <w:color w:val="000000"/>
        </w:rPr>
        <w:t xml:space="preserve">Югорск</w:t>
      </w:r>
      <w:r>
        <w:rPr>
          <w:color w:val="000000"/>
        </w:rPr>
        <w:t xml:space="preserve">, для Советского, Сургутского районов она оказалась </w:t>
      </w:r>
      <w:r>
        <w:rPr>
          <w:b/>
          <w:i/>
          <w:color w:val="000000"/>
        </w:rPr>
        <w:t xml:space="preserve">напряженной</w:t>
      </w:r>
      <w:r>
        <w:rPr>
          <w:color w:val="000000"/>
        </w:rPr>
        <w:t xml:space="preserve">.</w:t>
      </w:r>
      <w:r>
        <w:rPr>
          <w:color w:val="000000"/>
        </w:rPr>
      </w:r>
    </w:p>
    <w:p>
      <w:pPr>
        <w:spacing w:line="276" w:lineRule="auto"/>
        <w:ind w:firstLine="709"/>
        <w:rPr>
          <w:color w:val="000000"/>
        </w:rPr>
      </w:pPr>
      <w:r>
        <w:rPr>
          <w:b/>
          <w:bCs/>
          <w:i/>
          <w:iCs/>
        </w:rPr>
        <w:t xml:space="preserve">Нейтральная</w:t>
      </w:r>
      <w:r>
        <w:t xml:space="preserve"> характеристика наркоситуации зафиксирована в таких муниципальных образованиях как города</w:t>
      </w:r>
      <w:r>
        <w:rPr>
          <w:color w:val="000000"/>
        </w:rPr>
        <w:t xml:space="preserve"> Нефтеюганск, </w:t>
      </w:r>
      <w:r>
        <w:rPr>
          <w:color w:val="000000"/>
        </w:rPr>
        <w:t xml:space="preserve">Покачи</w:t>
      </w:r>
      <w:r>
        <w:rPr>
          <w:color w:val="000000"/>
        </w:rPr>
        <w:t xml:space="preserve"> и Радужный, Белоярский, Березовский, </w:t>
      </w:r>
      <w:r>
        <w:rPr>
          <w:color w:val="000000"/>
        </w:rPr>
        <w:t xml:space="preserve">Кондинский</w:t>
      </w:r>
      <w:r>
        <w:rPr>
          <w:color w:val="000000"/>
        </w:rPr>
        <w:t xml:space="preserve">, </w:t>
      </w:r>
      <w:r>
        <w:rPr>
          <w:color w:val="000000"/>
        </w:rPr>
        <w:t xml:space="preserve">Нефтеюганский</w:t>
      </w:r>
      <w:r>
        <w:rPr>
          <w:color w:val="000000"/>
        </w:rPr>
        <w:t xml:space="preserve">, </w:t>
      </w:r>
      <w:r>
        <w:rPr>
          <w:color w:val="000000"/>
        </w:rPr>
        <w:t xml:space="preserve">Нижневартовский</w:t>
      </w:r>
      <w:r>
        <w:rPr>
          <w:color w:val="000000"/>
        </w:rPr>
        <w:t xml:space="preserve">, Октябрьский и Ханты-Мансийский районы.</w:t>
      </w:r>
      <w:r>
        <w:rPr>
          <w:color w:val="000000"/>
        </w:rPr>
      </w:r>
    </w:p>
    <w:p>
      <w:pPr>
        <w:spacing w:line="276" w:lineRule="auto"/>
        <w:ind w:firstLine="709"/>
        <w:rPr>
          <w:color w:val="000000"/>
        </w:rPr>
      </w:pPr>
      <w:r>
        <w:t xml:space="preserve">В сравнении с 2023-2024 годами устойчивая положительная динамика наркоситуации (сокращение значений предварительной итоговой оценки) в 2025 году выявлена в городах </w:t>
      </w:r>
      <w:r>
        <w:rPr>
          <w:color w:val="000000"/>
        </w:rPr>
        <w:t xml:space="preserve">Ханты-Мансийск, </w:t>
      </w:r>
      <w:r>
        <w:rPr>
          <w:color w:val="000000"/>
        </w:rPr>
        <w:t xml:space="preserve">Мегион</w:t>
      </w:r>
      <w:r>
        <w:rPr>
          <w:color w:val="000000"/>
        </w:rPr>
        <w:t xml:space="preserve">, </w:t>
      </w:r>
      <w:r>
        <w:rPr>
          <w:color w:val="000000"/>
        </w:rPr>
        <w:t xml:space="preserve">Покачи</w:t>
      </w:r>
      <w:r>
        <w:rPr>
          <w:color w:val="000000"/>
        </w:rPr>
        <w:t xml:space="preserve">, Урай и в Ханты-Мансийском районе; ухудшение ситуации – в городах Когалым, Нефтеюганск, Нижневартовск, Нягань, </w:t>
      </w:r>
      <w:r>
        <w:rPr>
          <w:color w:val="000000"/>
        </w:rPr>
        <w:t xml:space="preserve">Пыть-Ях</w:t>
      </w:r>
      <w:r>
        <w:rPr>
          <w:color w:val="000000"/>
        </w:rPr>
        <w:t xml:space="preserve"> и Сургут, в Белоярском, Нефтеюганском, Советском и Сургутском районах.</w:t>
      </w:r>
      <w:r>
        <w:rPr>
          <w:color w:val="000000"/>
        </w:rPr>
      </w:r>
    </w:p>
    <w:p>
      <w:pPr>
        <w:spacing w:line="276" w:lineRule="auto"/>
        <w:ind w:firstLine="709"/>
      </w:pPr>
    </w:p>
    <w:p>
      <w:pPr>
        <w:spacing w:line="276" w:lineRule="auto"/>
        <w:ind w:firstLine="709"/>
        <w:outlineLvl w:val="1"/>
        <w:sectPr>
          <w:footnotePr/>
          <w:endnotePr/>
          <w:type w:val="nextPage"/>
          <w:pgSz w:w="11906" w:h="16838" w:orient="portrait"/>
          <w:pgMar w:top="1134" w:right="851" w:bottom="1134" w:left="1701" w:header="709" w:footer="709" w:gutter="0"/>
          <w:cols w:num="1" w:sep="0" w:space="708" w:equalWidth="1"/>
          <w:docGrid w:linePitch="360"/>
        </w:sectPr>
      </w:pPr>
    </w:p>
    <w:p>
      <w:pPr>
        <w:spacing w:line="276" w:lineRule="auto"/>
        <w:ind w:firstLine="709"/>
        <w:outlineLvl w:val="1"/>
        <w:rPr>
          <w:b/>
        </w:rPr>
      </w:pPr>
      <w:r>
        <w:rPr>
          <w:b/>
        </w:rPr>
        <w:t xml:space="preserve">9. Краткосрочное (1 год) прогнозирование развития наркоситуации</w:t>
      </w:r>
      <w:r>
        <w:rPr>
          <w:b/>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оперативной обстановки в сфере незаконного оборота наркотиков на территории Ханты-Мансийского </w:t>
      </w:r>
      <w:r>
        <w:rPr>
          <w:rFonts w:ascii="Times New Roman" w:hAnsi="Times New Roman" w:cs="Times New Roman"/>
          <w:sz w:val="28"/>
          <w:szCs w:val="28"/>
        </w:rPr>
        <w:t xml:space="preserve">автономного округа – Югры свидетельствует, что, как и прежде основными факторами, влияющими на ее развитие, остаются географическое положение, социально-экономическая и демографическая ситуация, развитая транспортная инфраструктура и миграционная ситуация.</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2026 году на чёрном рынке Югры сохранится доминирование синтетических наркотиков, которые, как и прежде, будут распространяться бесконтактным способом.</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Значительное влияние на данный процесс сохранят преступные группы, в состав которых входят иностранные граждане, чаще Таджикистана, Киргизии, Узбекистана, Азербайджана.</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w:t>
      </w:r>
      <w:r>
        <w:rPr>
          <w:rFonts w:ascii="Times New Roman" w:hAnsi="Times New Roman" w:cs="Times New Roman"/>
          <w:sz w:val="28"/>
          <w:szCs w:val="28"/>
        </w:rPr>
        <w:t xml:space="preserve">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Российской Федерации, в том числе расположенных в пределах Уральского федерального округа.</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r>
        <w:rPr>
          <w:rFonts w:ascii="Times New Roman" w:hAnsi="Times New Roman" w:cs="Times New Roman"/>
          <w:sz w:val="28"/>
          <w:szCs w:val="28"/>
        </w:rPr>
        <w:t xml:space="preserve">раннеосенние</w:t>
      </w:r>
      <w:r>
        <w:rPr>
          <w:rFonts w:ascii="Times New Roman" w:hAnsi="Times New Roman" w:cs="Times New Roman"/>
          <w:sz w:val="28"/>
          <w:szCs w:val="28"/>
        </w:rPr>
        <w:t xml:space="preserve"> заморозки), факты незаконного культивирования </w:t>
      </w:r>
      <w:r>
        <w:rPr>
          <w:rFonts w:ascii="Times New Roman" w:hAnsi="Times New Roman" w:cs="Times New Roman"/>
          <w:sz w:val="28"/>
          <w:szCs w:val="28"/>
        </w:rPr>
        <w:t xml:space="preserve">наркосодержащих</w:t>
      </w:r>
      <w:r>
        <w:rPr>
          <w:rFonts w:ascii="Times New Roman" w:hAnsi="Times New Roman" w:cs="Times New Roman"/>
          <w:sz w:val="28"/>
          <w:szCs w:val="28"/>
        </w:rPr>
        <w:t xml:space="preserve">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w:t>
      </w:r>
      <w:r>
        <w:rPr>
          <w:rFonts w:ascii="Times New Roman" w:hAnsi="Times New Roman" w:cs="Times New Roman"/>
          <w:sz w:val="28"/>
          <w:szCs w:val="28"/>
        </w:rPr>
        <w:t xml:space="preserve">наркосодержащих</w:t>
      </w:r>
      <w:r>
        <w:rPr>
          <w:rFonts w:ascii="Times New Roman" w:hAnsi="Times New Roman" w:cs="Times New Roman"/>
          <w:sz w:val="28"/>
          <w:szCs w:val="28"/>
        </w:rPr>
        <w:t xml:space="preserve"> растений в искусственно созданных условиях (жилых помещениях, а также гаражах и теплицах).</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отсутствие на территории автономного округа свободного доступа к </w:t>
      </w:r>
      <w:r>
        <w:rPr>
          <w:rFonts w:ascii="Times New Roman" w:hAnsi="Times New Roman" w:cs="Times New Roman"/>
          <w:sz w:val="28"/>
          <w:szCs w:val="28"/>
        </w:rPr>
        <w:t xml:space="preserve">прекурсорам</w:t>
      </w:r>
      <w:r>
        <w:rPr>
          <w:rFonts w:ascii="Times New Roman" w:hAnsi="Times New Roman" w:cs="Times New Roman"/>
          <w:sz w:val="28"/>
          <w:szCs w:val="28"/>
        </w:rPr>
        <w:t xml:space="preserve">, химическим реактивам и специали</w:t>
      </w:r>
      <w:r>
        <w:rPr>
          <w:rFonts w:ascii="Times New Roman" w:hAnsi="Times New Roman" w:cs="Times New Roman"/>
          <w:sz w:val="28"/>
          <w:szCs w:val="28"/>
        </w:rPr>
        <w:t xml:space="preserve">зированному химическому оборудованию,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будут носить единичный характер.</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w:t>
      </w:r>
      <w:r>
        <w:rPr>
          <w:rFonts w:ascii="Times New Roman" w:hAnsi="Times New Roman" w:cs="Times New Roman"/>
          <w:sz w:val="28"/>
          <w:szCs w:val="28"/>
        </w:rPr>
        <w:t xml:space="preserve">преимущественно выходцев из стран СНГ, а также жителей других регионов России.</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w:t>
      </w:r>
      <w:r>
        <w:rPr>
          <w:rFonts w:ascii="Times New Roman" w:hAnsi="Times New Roman" w:cs="Times New Roman"/>
          <w:sz w:val="28"/>
          <w:szCs w:val="28"/>
        </w:rPr>
        <w:br/>
        <w:t xml:space="preserve">и VPN-соединений. </w:t>
      </w:r>
      <w:r>
        <w:rPr>
          <w:rFonts w:ascii="Times New Roman" w:hAnsi="Times New Roman" w:cs="Times New Roman"/>
          <w:sz w:val="28"/>
          <w:szCs w:val="28"/>
        </w:rPr>
      </w:r>
    </w:p>
    <w:p>
      <w:pPr>
        <w:pStyle w:val="1646"/>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Преобладающим способом оплаты останется </w:t>
      </w:r>
      <w:r>
        <w:rPr>
          <w:rFonts w:ascii="Times New Roman" w:hAnsi="Times New Roman" w:cs="Times New Roman"/>
          <w:sz w:val="28"/>
          <w:szCs w:val="28"/>
        </w:rPr>
        <w:t xml:space="preserve">криптовалюта</w:t>
      </w:r>
      <w:r>
        <w:rPr>
          <w:rFonts w:ascii="Times New Roman" w:hAnsi="Times New Roman" w:cs="Times New Roman"/>
          <w:sz w:val="28"/>
          <w:szCs w:val="28"/>
        </w:rPr>
        <w:t xml:space="preserve">, которая продолжает вытеснять иные способы оплаты.</w:t>
      </w:r>
      <w:r>
        <w:rPr>
          <w:rFonts w:ascii="Times New Roman" w:hAnsi="Times New Roman" w:cs="Times New Roman"/>
          <w:sz w:val="28"/>
          <w:szCs w:val="28"/>
        </w:rPr>
      </w:r>
    </w:p>
    <w:p>
      <w:pPr>
        <w:widowControl w:val="off"/>
        <w:tabs>
          <w:tab w:val="left" w:pos="9357" w:leader="none"/>
          <w:tab w:val="left" w:pos="10066" w:leader="none"/>
        </w:tabs>
        <w:spacing w:line="276" w:lineRule="auto"/>
        <w:ind w:firstLine="709"/>
        <w:rPr>
          <w:color w:val="000000"/>
        </w:rPr>
      </w:pPr>
      <w:r>
        <w:t xml:space="preserve">Сбыт запрещенных к гражданскому обороту веществ продолжит осуществляться посредством специализированных интернет-магазинов, размещенных в мессенджере «</w:t>
      </w:r>
      <w:r>
        <w:t xml:space="preserve">Telegram</w:t>
      </w:r>
      <w:r>
        <w:t xml:space="preserve">», а также на теневых площадках, занимающихся продажей наркотиков. </w:t>
      </w:r>
      <w:r>
        <w:rPr>
          <w:color w:val="000000"/>
        </w:rPr>
        <w:t xml:space="preserve">Предполагается, что без эффективных и действенных мероприятий по ограничению со стороны специалистов IT-сектора и </w:t>
      </w:r>
      <w:r>
        <w:rPr>
          <w:color w:val="000000"/>
        </w:rPr>
        <w:t xml:space="preserve">кибербезопасности</w:t>
      </w:r>
      <w:r>
        <w:rPr>
          <w:color w:val="000000"/>
        </w:rPr>
        <w:t xml:space="preserve">, бесконтактный способ распространения НС и ПАВ </w:t>
      </w:r>
      <w:r>
        <w:rPr>
          <w:color w:val="000000"/>
        </w:rPr>
        <w:t xml:space="preserve">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r>
        <w:rPr>
          <w:color w:val="000000"/>
        </w:rPr>
      </w:r>
    </w:p>
    <w:p>
      <w:pPr>
        <w:widowControl w:val="off"/>
        <w:tabs>
          <w:tab w:val="left" w:pos="9357" w:leader="none"/>
          <w:tab w:val="left" w:pos="10066" w:leader="none"/>
        </w:tabs>
        <w:spacing w:line="276" w:lineRule="auto"/>
        <w:ind w:firstLine="709"/>
        <w:rPr>
          <w:sz w:val="24"/>
          <w:szCs w:val="24"/>
        </w:rPr>
      </w:pPr>
      <w:r>
        <w:rPr>
          <w:color w:val="000000"/>
        </w:rPr>
        <w:t xml:space="preserve">Эффективность мероприятий по противодействию распространению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r>
        <w:rPr>
          <w:sz w:val="24"/>
          <w:szCs w:val="24"/>
        </w:rPr>
      </w:r>
    </w:p>
    <w:p>
      <w:pPr>
        <w:widowControl w:val="off"/>
        <w:tabs>
          <w:tab w:val="left" w:pos="9357" w:leader="none"/>
          <w:tab w:val="left" w:pos="10066" w:leader="none"/>
        </w:tabs>
        <w:spacing w:line="276" w:lineRule="auto"/>
        <w:ind w:firstLine="709"/>
        <w:rPr>
          <w:sz w:val="24"/>
          <w:szCs w:val="24"/>
        </w:rPr>
      </w:pPr>
      <w:r>
        <w:rPr>
          <w:color w:val="000000"/>
        </w:rPr>
        <w:t xml:space="preserve">Психотические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 будут представлять в 2026 году серьезную проблему. </w:t>
      </w:r>
      <w:r>
        <w:rPr>
          <w:sz w:val="24"/>
          <w:szCs w:val="24"/>
        </w:rPr>
      </w:r>
    </w:p>
    <w:p>
      <w:pPr>
        <w:widowControl w:val="off"/>
        <w:tabs>
          <w:tab w:val="left" w:pos="9357" w:leader="none"/>
          <w:tab w:val="left" w:pos="10066" w:leader="none"/>
        </w:tabs>
        <w:spacing w:line="276" w:lineRule="auto"/>
        <w:ind w:firstLine="709"/>
        <w:rPr>
          <w:sz w:val="24"/>
          <w:szCs w:val="24"/>
        </w:rPr>
      </w:pPr>
      <w:r>
        <w:rPr>
          <w:color w:val="000000"/>
        </w:rP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Можно прогнозировать при дальнейшем замещении в классе потребляемых наркотических средств на синтетические </w:t>
      </w:r>
      <w:r>
        <w:rPr>
          <w:color w:val="000000"/>
        </w:rPr>
        <w:t xml:space="preserve">опиоиды</w:t>
      </w:r>
      <w:r>
        <w:rPr>
          <w:color w:val="000000"/>
        </w:rPr>
        <w:br/>
        <w:t xml:space="preserve"> (в том числе «</w:t>
      </w:r>
      <w:r>
        <w:rPr>
          <w:color w:val="000000"/>
        </w:rPr>
        <w:t xml:space="preserve">метадон</w:t>
      </w:r>
      <w:r>
        <w:rPr>
          <w:color w:val="000000"/>
        </w:rPr>
        <w:t xml:space="preserve">») увеличение числа смертельных отравлений и развитие психотической симптоматики.</w:t>
      </w:r>
      <w:r>
        <w:rPr>
          <w:sz w:val="24"/>
          <w:szCs w:val="24"/>
        </w:rPr>
      </w:r>
    </w:p>
    <w:p>
      <w:pPr>
        <w:widowControl w:val="off"/>
        <w:tabs>
          <w:tab w:val="left" w:pos="9357" w:leader="none"/>
          <w:tab w:val="left" w:pos="10066" w:leader="none"/>
        </w:tabs>
        <w:spacing w:line="276" w:lineRule="auto"/>
        <w:ind w:firstLine="709"/>
        <w:rPr>
          <w:sz w:val="24"/>
          <w:szCs w:val="24"/>
        </w:rPr>
      </w:pPr>
      <w:r>
        <w:rPr>
          <w:color w:val="000000"/>
        </w:rPr>
        <w:t xml:space="preserve">В ближайшей перспективе в молодежной среде сохранится употребление лекарственных препаратов, обладающих специфическим действием на нервную систему, а также прием препаратов, вызывающих </w:t>
      </w:r>
      <w:r>
        <w:rPr>
          <w:color w:val="000000"/>
          <w:spacing w:val="-2"/>
        </w:rPr>
        <w:t xml:space="preserve">токсическое опьянение вследствие приема в </w:t>
      </w:r>
      <w:r>
        <w:rPr>
          <w:color w:val="000000"/>
          <w:spacing w:val="-2"/>
        </w:rPr>
        <w:t xml:space="preserve">сверхтерапевтической</w:t>
      </w:r>
      <w:r>
        <w:rPr>
          <w:color w:val="000000"/>
        </w:rPr>
        <w:t xml:space="preserve"> дозировке, которое ведет к формированию лекарственной зависимости, учитываемой в рамках </w:t>
      </w:r>
      <w:r>
        <w:rPr>
          <w:color w:val="000000"/>
        </w:rPr>
        <w:t xml:space="preserve">полинаркомании</w:t>
      </w:r>
      <w:r>
        <w:rPr>
          <w:color w:val="000000"/>
        </w:rPr>
        <w:t xml:space="preserve">, а также пагубного употребления ненаркотических </w:t>
      </w:r>
      <w:r>
        <w:rPr>
          <w:color w:val="000000"/>
        </w:rPr>
        <w:t xml:space="preserve">психоактивных веществ.</w:t>
      </w:r>
      <w:r>
        <w:rPr>
          <w:sz w:val="24"/>
          <w:szCs w:val="24"/>
        </w:rPr>
      </w:r>
    </w:p>
    <w:p>
      <w:pPr>
        <w:widowControl w:val="off"/>
        <w:tabs>
          <w:tab w:val="left" w:pos="9357" w:leader="none"/>
          <w:tab w:val="left" w:pos="10066" w:leader="none"/>
        </w:tabs>
        <w:spacing w:line="276" w:lineRule="auto"/>
        <w:ind w:firstLine="709"/>
        <w:rPr>
          <w:sz w:val="24"/>
          <w:szCs w:val="24"/>
        </w:rPr>
      </w:pPr>
      <w:r>
        <w:rPr>
          <w:color w:val="000000"/>
        </w:rPr>
        <w:t xml:space="preserve">Наркозависимые, наблюдающиеся у врачей-психиатров-наркологов, по данным анамнеза ранее принимали препараты «</w:t>
      </w:r>
      <w:r>
        <w:rPr>
          <w:color w:val="000000"/>
        </w:rPr>
        <w:t xml:space="preserve">Тропикамид</w:t>
      </w:r>
      <w:r>
        <w:rPr>
          <w:color w:val="000000"/>
        </w:rPr>
        <w:t xml:space="preserve">» и «Лирика» преимущес</w:t>
      </w:r>
      <w:r>
        <w:rPr>
          <w:color w:val="000000"/>
        </w:rPr>
        <w:t xml:space="preserve">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w:t>
      </w:r>
      <w:r>
        <w:rPr>
          <w:color w:val="000000"/>
        </w:rPr>
        <w:br/>
        <w:t xml:space="preserve"> в 2025 году. Однако, при условии сохранения возможности незаконной реал</w:t>
      </w:r>
      <w:r>
        <w:rPr>
          <w:color w:val="000000"/>
        </w:rPr>
        <w:t xml:space="preserve">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w:t>
      </w:r>
      <w:r>
        <w:rPr>
          <w:sz w:val="24"/>
          <w:szCs w:val="24"/>
        </w:rPr>
      </w:r>
    </w:p>
    <w:p>
      <w:pPr>
        <w:spacing w:line="276" w:lineRule="auto"/>
        <w:ind w:firstLine="709"/>
        <w:rPr>
          <w:sz w:val="24"/>
          <w:szCs w:val="24"/>
        </w:rPr>
      </w:pPr>
      <w:r>
        <w:rPr>
          <w:color w:val="000000"/>
        </w:rPr>
        <w:t xml:space="preserve">Также 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w:t>
      </w:r>
      <w:r>
        <w:rPr>
          <w:color w:val="000000"/>
        </w:rPr>
        <w:t xml:space="preserve">снюсы</w:t>
      </w:r>
      <w:r>
        <w:rPr>
          <w:color w:val="000000"/>
        </w:rPr>
        <w:t xml:space="preserve">, </w:t>
      </w:r>
      <w:r>
        <w:rPr>
          <w:color w:val="000000"/>
        </w:rPr>
        <w:t xml:space="preserve">насвай</w:t>
      </w:r>
      <w:r>
        <w:rPr>
          <w:color w:val="000000"/>
        </w:rPr>
        <w:t xml:space="preserve">, «</w:t>
      </w:r>
      <w:r>
        <w:rPr>
          <w:color w:val="000000"/>
        </w:rPr>
        <w:t xml:space="preserve">вейпы</w:t>
      </w:r>
      <w:r>
        <w:rPr>
          <w:color w:val="000000"/>
        </w:rPr>
        <w:t xml:space="preserve">», «</w:t>
      </w:r>
      <w:r>
        <w:rPr>
          <w:color w:val="000000"/>
        </w:rPr>
        <w:t xml:space="preserve">фит</w:t>
      </w:r>
      <w:r>
        <w:rPr>
          <w:color w:val="000000"/>
        </w:rPr>
        <w:t xml:space="preserve">», </w:t>
      </w:r>
      <w:r>
        <w:rPr>
          <w:color w:val="000000"/>
        </w:rPr>
        <w:t xml:space="preserve">снафф</w:t>
      </w:r>
      <w:r>
        <w:rPr>
          <w:color w:val="000000"/>
        </w:rPr>
        <w:t xml:space="preserve"> и т.д.).</w:t>
      </w:r>
      <w:r>
        <w:rPr>
          <w:sz w:val="24"/>
          <w:szCs w:val="24"/>
        </w:rPr>
      </w:r>
    </w:p>
    <w:p>
      <w:pPr>
        <w:widowControl w:val="off"/>
        <w:tabs>
          <w:tab w:val="left" w:pos="9357" w:leader="none"/>
          <w:tab w:val="left" w:pos="10066" w:leader="none"/>
        </w:tabs>
        <w:spacing w:line="276" w:lineRule="auto"/>
        <w:ind w:firstLine="709"/>
        <w:rPr>
          <w:sz w:val="24"/>
          <w:szCs w:val="24"/>
        </w:rPr>
      </w:pPr>
      <w:r>
        <w:rPr>
          <w:color w:val="000000"/>
        </w:rPr>
        <w:t xml:space="preserve">Таким образом, сохранение усилий по контролю за соблюдением </w:t>
      </w:r>
      <w:r>
        <w:rPr>
          <w:color w:val="000000"/>
        </w:rPr>
        <w:t xml:space="preserve">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w:t>
      </w:r>
      <w:r>
        <w:rPr>
          <w:color w:val="000000"/>
        </w:rPr>
        <w:br/>
        <w:t xml:space="preserve"> без назначения врача в свободном доступе. </w:t>
      </w:r>
      <w:r>
        <w:rPr>
          <w:sz w:val="24"/>
          <w:szCs w:val="24"/>
        </w:rPr>
      </w:r>
    </w:p>
    <w:p>
      <w:pPr>
        <w:widowControl w:val="off"/>
        <w:tabs>
          <w:tab w:val="left" w:pos="9356" w:leader="none"/>
          <w:tab w:val="left" w:pos="10065" w:leader="none"/>
        </w:tabs>
        <w:spacing w:line="276" w:lineRule="auto"/>
        <w:ind w:firstLine="709"/>
      </w:pPr>
      <w:r>
        <w:rPr>
          <w:color w:val="000000"/>
        </w:rPr>
        <w:t xml:space="preserve">Анализируя статистические показатели наркологической службы Ханты-Мансийского автономного округа – Югры, текущую </w:t>
      </w:r>
      <w:r>
        <w:rPr>
          <w:color w:val="000000"/>
        </w:rPr>
        <w:t xml:space="preserve">наркоситуацию</w:t>
      </w:r>
      <w:r>
        <w:rPr>
          <w:color w:val="000000"/>
        </w:rPr>
        <w:t xml:space="preserve">,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p>
    <w:p/>
    <w:p>
      <w:pPr>
        <w:widowControl w:val="off"/>
        <w:tabs>
          <w:tab w:val="left" w:pos="9356" w:leader="none"/>
          <w:tab w:val="left" w:pos="10065" w:leader="none"/>
        </w:tabs>
        <w:spacing w:line="276" w:lineRule="auto"/>
        <w:ind w:firstLine="709"/>
      </w:pPr>
    </w:p>
    <w:p>
      <w:pPr>
        <w:widowControl w:val="off"/>
        <w:tabs>
          <w:tab w:val="left" w:pos="9356" w:leader="none"/>
          <w:tab w:val="left" w:pos="10065" w:leader="none"/>
        </w:tabs>
        <w:spacing w:line="276" w:lineRule="auto"/>
        <w:ind w:firstLine="709"/>
        <w:rPr>
          <w:b/>
        </w:rPr>
        <w:sectPr>
          <w:footnotePr/>
          <w:endnotePr/>
          <w:type w:val="nextPage"/>
          <w:pgSz w:w="11906" w:h="16838" w:orient="portrait"/>
          <w:pgMar w:top="1134" w:right="851" w:bottom="1134" w:left="1701" w:header="709" w:footer="577" w:gutter="0"/>
          <w:cols w:num="1" w:sep="0" w:space="708" w:equalWidth="1"/>
          <w:docGrid w:linePitch="360"/>
        </w:sectPr>
      </w:pPr>
      <w:r>
        <w:rPr>
          <w:b/>
        </w:rPr>
      </w:r>
      <w:r>
        <w:rPr>
          <w:b/>
        </w:rPr>
      </w:r>
    </w:p>
    <w:p>
      <w:pPr>
        <w:widowControl w:val="off"/>
        <w:tabs>
          <w:tab w:val="left" w:pos="9356" w:leader="none"/>
          <w:tab w:val="left" w:pos="10065" w:leader="none"/>
        </w:tabs>
        <w:spacing w:line="276" w:lineRule="auto"/>
        <w:ind w:firstLine="709"/>
        <w:rPr>
          <w:b/>
        </w:rPr>
      </w:pPr>
      <w:r>
        <w:rPr>
          <w:b/>
        </w:rPr>
        <w:t xml:space="preserve">10. Проекты управленческих решений и предложения по оздоровлению наркоситуации в Ханты-Мансийском автономном округе – Югре и в Российской Федерации в целом</w:t>
      </w:r>
      <w:r>
        <w:rPr>
          <w:b/>
        </w:rPr>
      </w:r>
    </w:p>
    <w:p>
      <w:pPr>
        <w:pStyle w:val="1612"/>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pStyle w:val="1615"/>
        <w:numPr>
          <w:numId w:val="3"/>
          <w:ilvl w:val="0"/>
        </w:numPr>
        <w:spacing w:line="276" w:lineRule="auto"/>
        <w:ind w:left="0" w:firstLine="709"/>
        <w:rPr>
          <w:rFonts w:eastAsia="Calibri"/>
        </w:rPr>
      </w:pPr>
      <w:r>
        <w:rPr>
          <w:rFonts w:eastAsia="Calibri"/>
        </w:rPr>
        <w:t xml:space="preserve">Совершенствование системы лечения и реабилитации по направлениям:</w:t>
      </w:r>
      <w:r>
        <w:rPr>
          <w:rFonts w:eastAsia="Calibri"/>
        </w:rPr>
      </w:r>
    </w:p>
    <w:p>
      <w:pPr>
        <w:spacing w:line="276" w:lineRule="auto"/>
        <w:ind w:firstLine="709"/>
        <w:contextualSpacing/>
      </w:pPr>
      <w:r>
        <w:rPr>
          <w:iCs/>
        </w:rPr>
        <w:t xml:space="preserve">стимулирование развития реабилитационной инфраструктуры; </w:t>
      </w:r>
      <w:r>
        <w:t xml:space="preserve">рассмотрение возможности увеличения субсидий и предоставления налоговых льгот негосударственным организациям, профессионально занимающимся социальной реабилитацией и </w:t>
      </w:r>
      <w:r>
        <w:t xml:space="preserve">ресоциализацией</w:t>
      </w:r>
      <w:r>
        <w:t xml:space="preserve"> наркозависимых, с установлением четких критериев качества их работы;</w:t>
      </w:r>
    </w:p>
    <w:p>
      <w:pPr>
        <w:spacing w:line="276" w:lineRule="auto"/>
        <w:ind w:firstLine="709"/>
        <w:contextualSpacing/>
      </w:pPr>
      <w:r>
        <w:rPr>
          <w:iCs/>
        </w:rPr>
        <w:t xml:space="preserve">решение проблемы кадрового обеспечения; х</w:t>
      </w:r>
      <w:r>
        <w:t xml:space="preserve">одатайство перед вышестоящими органами исполнительной власти и правоохранительными структурами об укомплектовании штата подразделения по незаконному обороту наркотиков МВД, что является критическим фактором для эффективного противодействия </w:t>
      </w:r>
      <w:r>
        <w:t xml:space="preserve">наркопреступности</w:t>
      </w:r>
      <w:r>
        <w:t xml:space="preserve">;</w:t>
      </w:r>
    </w:p>
    <w:p>
      <w:pPr>
        <w:spacing w:line="276" w:lineRule="auto"/>
        <w:ind w:firstLine="709"/>
      </w:pPr>
      <w:r>
        <w:rPr>
          <w:rFonts w:eastAsia="Calibri"/>
        </w:rPr>
        <w:t xml:space="preserve">улучшение материально-технической базы: </w:t>
      </w:r>
      <w:r>
        <w:rPr>
          <w:color w:val="000000"/>
        </w:rPr>
        <w:t xml:space="preserve">приобретение газовых хроматографов для пяти психоневрологических больниц автономного округа с учетом возможностей производственно-технической базы и ценовой политики производителей и поставщи</w:t>
      </w:r>
      <w:r>
        <w:rPr>
          <w:color w:val="000000"/>
        </w:rPr>
        <w:t xml:space="preserve">ков медицинского оборудования отечественного сектора экономики, для обеспечения экспертного определения НС и ПАВ, и потенциально опасных веществ в биологических средах человека с учетом развития системы раннего выявления незаконных потребителей наркотиков.</w:t>
      </w:r>
    </w:p>
    <w:p>
      <w:pPr>
        <w:spacing w:line="276" w:lineRule="auto"/>
        <w:ind w:firstLine="709"/>
        <w:rPr>
          <w:rFonts w:eastAsia="Calibri"/>
        </w:rPr>
      </w:pPr>
      <w:r>
        <w:rPr>
          <w:rFonts w:eastAsia="Calibri"/>
        </w:rPr>
        <w:t xml:space="preserve">2) Дополнительные меры по контролю за оборотом наркотических средств и психотропных веществ посредством </w:t>
      </w:r>
      <w:r>
        <w:rPr>
          <w:color w:val="000000"/>
        </w:rPr>
        <w:t xml:space="preserve">ограничения на прока</w:t>
      </w:r>
      <w:r>
        <w:rPr>
          <w:color w:val="000000"/>
        </w:rPr>
        <w:t xml:space="preserve">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r>
        <w:rPr>
          <w:rFonts w:eastAsia="Calibri"/>
        </w:rPr>
      </w:r>
    </w:p>
    <w:p>
      <w:pPr>
        <w:spacing w:line="276" w:lineRule="auto"/>
        <w:ind w:firstLine="709"/>
        <w:rPr>
          <w:rFonts w:eastAsia="Calibri"/>
        </w:rPr>
      </w:pPr>
      <w:r>
        <w:rPr>
          <w:rFonts w:eastAsia="Calibri"/>
        </w:rPr>
        <w:t xml:space="preserve">3) Совершенствование межведомственного взаимодействия:</w:t>
      </w:r>
      <w:r>
        <w:rPr>
          <w:rFonts w:eastAsia="Calibri"/>
        </w:rPr>
      </w:r>
    </w:p>
    <w:p>
      <w:pPr>
        <w:pStyle w:val="1615"/>
        <w:spacing w:line="276" w:lineRule="auto"/>
        <w:ind w:left="0" w:firstLine="709"/>
        <w:rPr>
          <w:rFonts w:eastAsia="Calibri"/>
        </w:rPr>
      </w:pPr>
      <w:r>
        <w:rPr>
          <w:rFonts w:eastAsia="Calibri"/>
        </w:rPr>
        <w:t xml:space="preserve">посре</w:t>
      </w:r>
      <w:r>
        <w:rPr>
          <w:rFonts w:eastAsia="Calibri"/>
        </w:rPr>
        <w:t xml:space="preserve">дством создания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подготовки решений, реализация которых способна положительно повлиять на ее изменение;</w:t>
      </w:r>
      <w:r>
        <w:rPr>
          <w:rFonts w:eastAsia="Calibri"/>
        </w:rPr>
      </w:r>
    </w:p>
    <w:p>
      <w:pPr>
        <w:pStyle w:val="1615"/>
        <w:spacing w:line="276" w:lineRule="auto"/>
        <w:ind w:left="0" w:firstLine="709"/>
      </w:pPr>
      <w:r>
        <w:t xml:space="preserve">органов системы профилактики наркомании, общественных организаций и представителей информационного и масс-медиа пространства </w:t>
      </w:r>
      <w:r>
        <w:t xml:space="preserve">(СМИ, рекламные агентства, </w:t>
      </w:r>
      <w:r>
        <w:t xml:space="preserve">блогеры</w:t>
      </w:r>
      <w:r>
        <w:t xml:space="preserve">, организации полиграфии и печатной продукции и пр.), направленного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w:t>
      </w:r>
      <w:r>
        <w:t xml:space="preserve">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(административная и уголовная ответственность, проблемы в семейных отношениях, трудовая </w:t>
      </w:r>
      <w:r>
        <w:t xml:space="preserve">дезадаптация</w:t>
      </w:r>
      <w:r>
        <w:t xml:space="preserve">, личностная деградация);</w:t>
      </w:r>
    </w:p>
    <w:p>
      <w:pPr>
        <w:pStyle w:val="1615"/>
        <w:spacing w:line="276" w:lineRule="auto"/>
        <w:ind w:left="0" w:firstLine="709"/>
      </w:pPr>
      <w:r>
        <w:rPr>
          <w:rFonts w:eastAsia="Calibri"/>
        </w:rPr>
        <w:t xml:space="preserve">у</w:t>
      </w:r>
      <w:r>
        <w:t xml:space="preserve">силение межведомственного сотрудничества правоохранительных органов, органов системы профилактики, общественных организаций и представителей информационного и масс-медиа простран</w:t>
      </w:r>
      <w:r>
        <w:t xml:space="preserve">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pPr>
        <w:spacing w:line="276" w:lineRule="auto"/>
        <w:ind w:firstLine="709"/>
        <w:contextualSpacing/>
      </w:pPr>
      <w:r>
        <w:rPr>
          <w:bCs/>
          <w:color w:val="000000"/>
        </w:rPr>
        <w:t xml:space="preserve">рассмотрение возможности организации дополнительного обучения представителей муниципальных антинаркотических комиссий по вопросам реализации антинаркотической политики на территории Российской Федерации, а также</w:t>
      </w:r>
      <w:r>
        <w:rPr>
          <w:color w:val="000000"/>
        </w:rPr>
        <w:t xml:space="preserve"> </w:t>
      </w:r>
      <w:r>
        <w:rPr>
          <w:bCs/>
          <w:color w:val="000000"/>
        </w:rPr>
        <w:t xml:space="preserve">внед</w:t>
      </w:r>
      <w:r>
        <w:rPr>
          <w:bCs/>
          <w:color w:val="000000"/>
        </w:rPr>
        <w:t xml:space="preserve">рению новых передовых механизмов и процедур в работе антинаркотической комиссии при координации субъектов антинаркотической деятельности, в том числе в формате семинаров, круглых столов, стратегических сессий и других форм проведения обучающих мероприятий.</w:t>
      </w:r>
    </w:p>
    <w:p>
      <w:pPr>
        <w:spacing w:line="276" w:lineRule="auto"/>
        <w:ind w:firstLine="709"/>
        <w:rPr>
          <w:rFonts w:eastAsia="Calibri"/>
        </w:rPr>
      </w:pPr>
      <w:r>
        <w:rPr>
          <w:rFonts w:eastAsia="Calibri"/>
        </w:rPr>
        <w:t xml:space="preserve">4) Поддержка научных исследований:</w:t>
      </w:r>
      <w:r>
        <w:rPr>
          <w:rFonts w:eastAsia="Calibri"/>
        </w:rPr>
      </w:r>
    </w:p>
    <w:p>
      <w:pPr>
        <w:spacing w:line="276" w:lineRule="auto"/>
        <w:ind w:firstLine="709"/>
        <w:rPr>
          <w:rFonts w:eastAsia="Calibri"/>
        </w:rPr>
      </w:pPr>
      <w:r>
        <w:rPr>
          <w:rFonts w:eastAsia="Calibri"/>
        </w:rPr>
        <w:t xml:space="preserve">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r>
        <w:rPr>
          <w:rFonts w:eastAsia="Calibri"/>
        </w:rPr>
      </w:r>
    </w:p>
    <w:p>
      <w:pPr>
        <w:spacing w:line="276" w:lineRule="auto"/>
        <w:ind w:firstLine="709"/>
        <w:rPr>
          <w:rFonts w:eastAsia="Calibri"/>
        </w:rPr>
      </w:pPr>
      <w:r>
        <w:rPr>
          <w:rFonts w:eastAsia="Calibri"/>
        </w:rPr>
        <w:t xml:space="preserve">поддержка научных проектов, направленных на создание эффективных методик лечения и реабилитации наркозависимых.</w:t>
      </w:r>
      <w:r>
        <w:rPr>
          <w:rFonts w:eastAsia="Calibri"/>
        </w:rPr>
      </w:r>
    </w:p>
    <w:p>
      <w:pPr>
        <w:spacing w:line="276" w:lineRule="auto"/>
        <w:ind w:firstLine="709"/>
        <w:rPr>
          <w:rFonts w:eastAsia="Calibri"/>
        </w:rPr>
      </w:pPr>
      <w:r>
        <w:rPr>
          <w:rFonts w:eastAsia="Calibri"/>
        </w:rPr>
        <w:t xml:space="preserve">5) Социальная поддержка населения:</w:t>
      </w:r>
      <w:r>
        <w:rPr>
          <w:rFonts w:eastAsia="Calibri"/>
        </w:rPr>
      </w:r>
    </w:p>
    <w:p>
      <w:pPr>
        <w:spacing w:line="276" w:lineRule="auto"/>
        <w:ind w:firstLine="709"/>
        <w:rPr>
          <w:rFonts w:eastAsia="Calibri"/>
        </w:rPr>
      </w:pPr>
      <w:r>
        <w:rPr>
          <w:rFonts w:eastAsia="Calibri"/>
        </w:rPr>
        <w:t xml:space="preserve">развитие спортивных, культурных и образовательных программ для молодежи, чтобы снизить риск вовлечения в наркоманию;</w:t>
      </w:r>
      <w:r>
        <w:rPr>
          <w:rFonts w:eastAsia="Calibri"/>
        </w:rPr>
      </w:r>
    </w:p>
    <w:p>
      <w:pPr>
        <w:spacing w:line="276" w:lineRule="auto"/>
        <w:ind w:firstLine="709"/>
        <w:rPr>
          <w:rFonts w:eastAsia="Calibri"/>
        </w:rPr>
      </w:pPr>
      <w:r>
        <w:rPr>
          <w:rFonts w:eastAsia="Calibri"/>
        </w:rPr>
        <w:t xml:space="preserve">оказание помощи семьям, столкнувшимся с проблемой наркомании, включая консультации психологов и социальных работников.</w:t>
      </w:r>
      <w:r>
        <w:rPr>
          <w:rFonts w:eastAsia="Calibri"/>
        </w:rPr>
      </w:r>
    </w:p>
    <w:p>
      <w:pPr>
        <w:spacing w:line="276" w:lineRule="auto"/>
        <w:ind w:firstLine="709"/>
        <w:rPr>
          <w:rFonts w:eastAsia="Calibri"/>
        </w:rPr>
      </w:pPr>
      <w:r>
        <w:rPr>
          <w:rFonts w:eastAsia="Calibri"/>
        </w:rPr>
        <w:t xml:space="preserve">6) Правовые инициативы: </w:t>
      </w:r>
      <w:r>
        <w:rPr>
          <w:rFonts w:eastAsia="Calibri"/>
        </w:rPr>
      </w:r>
    </w:p>
    <w:p>
      <w:pPr>
        <w:spacing w:line="276" w:lineRule="auto"/>
        <w:ind w:firstLine="709"/>
        <w:rPr>
          <w:lang w:eastAsia="ar-SA"/>
        </w:rPr>
      </w:pPr>
      <w:r>
        <w:rPr>
          <w:color w:val="000000"/>
        </w:rPr>
        <w:t xml:space="preserve">у</w:t>
      </w:r>
      <w:r>
        <w:rPr>
          <w:lang w:eastAsia="ar-SA"/>
        </w:rPr>
        <w:t xml:space="preserve">крепление законодательной базы и правоприменительной практики </w:t>
      </w:r>
      <w:r>
        <w:rPr>
          <w:lang w:eastAsia="ar-SA"/>
        </w:rPr>
        <w:br/>
        <w:t xml:space="preserve">в части усиления ответственности организаторов каналов поставки наркотиков;</w:t>
      </w:r>
      <w:r>
        <w:rPr>
          <w:lang w:eastAsia="ar-SA"/>
        </w:rPr>
      </w:r>
    </w:p>
    <w:p>
      <w:pPr>
        <w:spacing w:line="276" w:lineRule="auto"/>
        <w:ind w:firstLine="709"/>
        <w:rPr>
          <w:lang w:eastAsia="ar-SA"/>
        </w:rPr>
      </w:pPr>
      <w:r>
        <w:rPr>
          <w:lang w:eastAsia="ar-SA"/>
        </w:rPr>
        <w:t xml:space="preserve">регулирование оборота легальных аналогов запрещенных веществ: контроль над препаратами, используемыми в медицине, косметологии, которые потенциально могут применяться в нелегальном производстве наркотиков;</w:t>
      </w:r>
      <w:r>
        <w:rPr>
          <w:lang w:eastAsia="ar-SA"/>
        </w:rPr>
      </w:r>
    </w:p>
    <w:p>
      <w:pPr>
        <w:spacing w:line="276" w:lineRule="auto"/>
        <w:ind w:firstLine="709"/>
        <w:contextualSpacing/>
      </w:pPr>
      <w:r>
        <w:rPr>
          <w:iCs/>
        </w:rPr>
        <w:t xml:space="preserve">инициирование корректировки федеральных показателей мониторинга.</w:t>
      </w:r>
      <w:r>
        <w:t xml:space="preserve"> Предложить ГАК рассмотреть вопрос об актуализации и дополнении критериев оценки наркоситуации с учетом новых видов психоактивных веществ и современных каналов распространения (интернет, </w:t>
      </w:r>
      <w:r>
        <w:t xml:space="preserve">криптовалюты</w:t>
      </w:r>
      <w:r>
        <w:t xml:space="preserve">).</w:t>
      </w:r>
    </w:p>
    <w:p>
      <w:pPr>
        <w:tabs>
          <w:tab w:val="left" w:pos="1276" w:leader="none"/>
          <w:tab w:val="left" w:pos="1843" w:leader="none"/>
        </w:tabs>
        <w:spacing w:line="276" w:lineRule="auto"/>
        <w:ind w:firstLine="709"/>
      </w:pPr>
      <w:r>
        <w:rPr>
          <w:rFonts w:eastAsia="Calibri"/>
        </w:rPr>
        <w:t xml:space="preserve">7) Органам управления в сфере образования и </w:t>
      </w:r>
      <w:r>
        <w:t xml:space="preserve">руководителям образовательных организаций автономного округа: </w:t>
      </w:r>
    </w:p>
    <w:p>
      <w:pPr>
        <w:tabs>
          <w:tab w:val="left" w:pos="1276" w:leader="none"/>
          <w:tab w:val="left" w:pos="1843" w:leader="none"/>
        </w:tabs>
        <w:spacing w:line="276" w:lineRule="auto"/>
        <w:ind w:firstLine="709"/>
        <w:contextualSpacing/>
      </w:pPr>
      <w:r>
        <w:t xml:space="preserve">сохранение высокого уровня охвата и проведения социально-психологического тес</w:t>
      </w:r>
      <w:r>
        <w:t xml:space="preserve">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p>
    <w:p>
      <w:pPr>
        <w:tabs>
          <w:tab w:val="left" w:pos="1276" w:leader="none"/>
          <w:tab w:val="left" w:pos="1843" w:leader="none"/>
        </w:tabs>
        <w:spacing w:line="276" w:lineRule="auto"/>
        <w:ind w:firstLine="709"/>
        <w:contextualSpacing/>
      </w:pPr>
      <w:r>
        <w:t xml:space="preserve">у</w:t>
      </w:r>
      <w:r>
        <w:rPr>
          <w:rFonts w:eastAsia="+mn-ea"/>
          <w:color w:val="000000"/>
        </w:rPr>
        <w:t xml:space="preserve">силение контроля за </w:t>
      </w:r>
      <w:r>
        <w:rPr>
          <w:rFonts w:eastAsia="Calibri"/>
          <w:color w:val="000000"/>
        </w:rPr>
        <w:t xml:space="preserve">проведением с</w:t>
      </w:r>
      <w:r>
        <w:rPr>
          <w:rFonts w:eastAsia="Calibri"/>
          <w:color w:val="000000"/>
        </w:rPr>
        <w:t xml:space="preserve">оциально-психологического тестирования, а также за организацией профилактической работы в течение года со всеми обучающимися, и после проведения тестирования с обучающимися «группы риска», выявленными по результатам социально-психологического тестирования;</w:t>
      </w:r>
    </w:p>
    <w:p>
      <w:pPr>
        <w:tabs>
          <w:tab w:val="left" w:pos="1276" w:leader="none"/>
          <w:tab w:val="left" w:pos="1843" w:leader="none"/>
        </w:tabs>
        <w:spacing w:line="276" w:lineRule="auto"/>
        <w:ind w:firstLine="709"/>
        <w:contextualSpacing/>
      </w:pPr>
      <w:r>
        <w:rPr>
          <w:color w:val="000000"/>
        </w:rPr>
        <w:t xml:space="preserve">организация профилактической работы в течение учебного года с обучающимися «группы риска» (по результатам тестирования)</w:t>
      </w:r>
      <w:r>
        <w:t xml:space="preserve"> и их родителями (законными представителями), с участием </w:t>
      </w:r>
      <w:r>
        <w:rPr>
          <w:color w:val="000000"/>
        </w:rPr>
        <w:t xml:space="preserve">Центров психолого-педагогической, медицинской и социальной помощи</w:t>
      </w:r>
      <w:r>
        <w:t xml:space="preserve"> и профильных некоммерческих организаций;</w:t>
      </w:r>
    </w:p>
    <w:p>
      <w:pPr>
        <w:tabs>
          <w:tab w:val="left" w:pos="1276" w:leader="none"/>
          <w:tab w:val="left" w:pos="1843" w:leader="none"/>
        </w:tabs>
        <w:spacing w:line="276" w:lineRule="auto"/>
        <w:ind w:firstLine="709"/>
        <w:contextualSpacing/>
      </w:pPr>
      <w:r>
        <w:t xml:space="preserve">о</w:t>
      </w:r>
      <w:r>
        <w:rPr>
          <w:lang w:eastAsia="en-US"/>
        </w:rPr>
        <w:t xml:space="preserve">рганизация курсов повышения квалификации для педагогов и социальных работников по вопросам распознавания и работы с лицами, имеющими проблемы с наркотиками;</w:t>
      </w:r>
    </w:p>
    <w:p>
      <w:pPr>
        <w:tabs>
          <w:tab w:val="left" w:pos="1276" w:leader="none"/>
          <w:tab w:val="left" w:pos="1843" w:leader="none"/>
        </w:tabs>
        <w:spacing w:line="276" w:lineRule="auto"/>
        <w:ind w:firstLine="709"/>
        <w:contextualSpacing/>
      </w:pPr>
      <w:r>
        <w:t xml:space="preserve">р</w:t>
      </w:r>
      <w:r>
        <w:rPr>
          <w:lang w:eastAsia="en-US"/>
        </w:rPr>
        <w:t xml:space="preserve">азработка обязательных антинаркотических модулей для учебных планов образовательных учреждений всех уровней.</w:t>
      </w:r>
    </w:p>
    <w:p>
      <w:pPr>
        <w:spacing w:line="276" w:lineRule="auto"/>
        <w:ind w:firstLine="709"/>
      </w:pPr>
      <w:r>
        <w:t xml:space="preserve">8) Проведение на постоянной основе профилактических мероприятий среди иностранных граждан (трудовых мигрантов и иностранных студентов), находящихся на территории автономного округа, в части повышения уровня </w:t>
      </w:r>
      <w:r>
        <w:t xml:space="preserve">их информированности об ответственности за совершение правонарушений и преступлений в сфере незаконного оборота наркотиков. Внедрение обязательных ознакомительных программ по российскому антинаркотическому законодательству и последствиям </w:t>
      </w:r>
      <w:r>
        <w:t xml:space="preserve">наркопотребления</w:t>
      </w:r>
      <w:r>
        <w:t xml:space="preserve"> на базе центров миграционного учета и учебных заведений.</w:t>
      </w:r>
    </w:p>
    <w:p>
      <w:pPr>
        <w:spacing w:line="276" w:lineRule="auto"/>
        <w:ind w:firstLine="709"/>
      </w:pPr>
      <w:r>
        <w:rPr>
          <w:bCs/>
          <w:color w:val="000000"/>
        </w:rPr>
        <w:t xml:space="preserve">9)</w:t>
      </w:r>
      <w:r>
        <w:t xml:space="preserve"> Развитие программ «снижения вреда» и мотивации </w:t>
      </w:r>
      <w:r>
        <w:t xml:space="preserve">к лечению от наркозависимости. Расширение взаимодействия с НКО для внедрения современных методик мотивационного консультирования и программ медико-социального сопровождения лиц, потребляющих наркотики, с акцентом на анонимность и доступность первой помощи.</w:t>
      </w:r>
    </w:p>
    <w:p>
      <w:pPr>
        <w:spacing w:line="276" w:lineRule="auto"/>
        <w:rPr>
          <w:highlight w:val="white"/>
        </w:rPr>
      </w:pPr>
      <w:r>
        <w:t xml:space="preserve">10) Усиление деятельности в сфере </w:t>
      </w:r>
      <w:r>
        <w:t xml:space="preserve">киберволонтерства</w:t>
      </w:r>
      <w:r>
        <w:t xml:space="preserve"> и </w:t>
      </w:r>
      <w:r>
        <w:br/>
        <w:t xml:space="preserve">IT-противодействия. Формализация и расширение деятельности </w:t>
      </w:r>
      <w:r>
        <w:t xml:space="preserve">кибердружин</w:t>
      </w:r>
      <w:r>
        <w:t xml:space="preserve">, создание для них методических рекомендаций и системы взаимодействия с правоохранительными органами для более эффективного выявления </w:t>
      </w:r>
      <w:r>
        <w:t xml:space="preserve">интернет-ресурсов</w:t>
      </w:r>
      <w:r>
        <w:t xml:space="preserve">, пропагандирующих </w:t>
      </w:r>
      <w:r>
        <w:t xml:space="preserve">наркопотребление</w:t>
      </w:r>
      <w:r>
        <w:t xml:space="preserve">, </w:t>
      </w:r>
      <w:r>
        <w:rPr>
          <w:color w:val="000000" w:themeColor="text1"/>
          <w:highlight w:val="white"/>
        </w:rPr>
        <w:t xml:space="preserve">с целью последующей блокировки сайтов, проведение мероприятий, направленных на устранение в общедоступных местах надписей, объявлений и ссылок на </w:t>
      </w:r>
      <w:r>
        <w:rPr>
          <w:color w:val="000000" w:themeColor="text1"/>
          <w:highlight w:val="white"/>
        </w:rPr>
        <w:t xml:space="preserve">интернет-ресурсы</w:t>
      </w:r>
      <w:r>
        <w:rPr>
          <w:color w:val="000000" w:themeColor="text1"/>
          <w:highlight w:val="white"/>
        </w:rPr>
        <w:t xml:space="preserve"> и мессенджеры, содержащие информацию о продаже наркотических и психотропных веществ.</w:t>
      </w:r>
      <w:r>
        <w:rPr>
          <w:highlight w:val="white"/>
        </w:rPr>
      </w:r>
    </w:p>
    <w:p>
      <w:pPr>
        <w:spacing w:line="276" w:lineRule="auto"/>
        <w:ind w:firstLine="709"/>
        <w:contextualSpacing/>
      </w:pPr>
      <w:r>
        <w:rPr>
          <w:iCs/>
        </w:rPr>
        <w:t xml:space="preserve">11) Продолжение курса на профилактику и раннее вмешательство.</w:t>
      </w:r>
      <w:r>
        <w:t xml:space="preserve"> Увеличение доли финансирования мероприятий, направленных на первичную профилактику среди детей и подростков, в том числе через </w:t>
      </w:r>
      <w:r>
        <w:t xml:space="preserve">грантовую</w:t>
      </w:r>
      <w:r>
        <w:t xml:space="preserve"> поддержку молодежных и волонтерских инициатив.</w:t>
      </w:r>
    </w:p>
    <w:p>
      <w:pPr>
        <w:spacing w:line="276" w:lineRule="auto"/>
        <w:ind w:firstLine="709"/>
        <w:contextualSpacing/>
      </w:pPr>
      <w:r>
        <w:rPr>
          <w:iCs/>
        </w:rPr>
        <w:t xml:space="preserve">12) Способствование </w:t>
      </w:r>
      <w:r>
        <w:rPr>
          <w:iCs/>
        </w:rPr>
        <w:t xml:space="preserve">дестигматизации</w:t>
      </w:r>
      <w:r>
        <w:rPr>
          <w:iCs/>
        </w:rPr>
        <w:t xml:space="preserve"> зависимости.</w:t>
      </w:r>
      <w:r>
        <w:t xml:space="preserve"> Поддержка на федеральном и региональном уровнях информационных кампаний, направленных на формирование в обществе понимания наркозависимости как заболевания, требующего лечения и реабилитации, а не только осуждения.</w:t>
      </w:r>
    </w:p>
    <w:p>
      <w:pPr>
        <w:spacing w:line="276" w:lineRule="auto"/>
        <w:ind w:firstLine="0"/>
        <w:contextualSpacing/>
      </w:pPr>
    </w:p>
    <w:sectPr>
      <w:headerReference w:type="default" r:id="rId14"/>
      <w:headerReference w:type="first" r:id="rId15"/>
      <w:footerReference w:type="first" r:id="rId19"/>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ymbol">
    <w:panose1 w:val="05010000000000000000"/>
  </w:font>
  <w:font w:name="Tahoma">
    <w:panose1 w:val="020B0604030504040204"/>
  </w:font>
  <w:font w:name="Lucida Sans Unicode">
    <w:panose1 w:val="020B0603030804020204"/>
  </w:font>
  <w:font w:name="Verdana">
    <w:panose1 w:val="020B0604030504040204"/>
  </w:font>
  <w:font w:name="Segoe UI">
    <w:panose1 w:val="020B0502040504020204"/>
  </w:font>
  <w:font w:name="Courier New">
    <w:panose1 w:val="02070309020205020404"/>
  </w:font>
  <w:font w:name="Calibri">
    <w:panose1 w:val="020F0502020204030204"/>
  </w:font>
  <w:font w:name="Wingdings">
    <w:panose1 w:val="05010000000000000000"/>
  </w:font>
  <w:font w:name="Liberation Sans">
    <w:panose1 w:val="020B0604020202020204"/>
  </w:font>
  <w:font w:name="Arial Unicode MS">
    <w:panose1 w:val="020B0604020202020204"/>
  </w:font>
  <w:font w:name="Arial">
    <w:panose1 w:val="020B0604020202020204"/>
  </w:font>
  <w:font w:name="Cambria">
    <w:panose1 w:val="02040503050406030204"/>
  </w:font>
  <w:font w:name="+mn-ea">
    <w:panose1 w:val="02000603000000000000"/>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center"/>
    </w:pPr>
    <w:r>
      <w:t xml:space="preserve">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4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p>
  </w:footnote>
  <w:footnote w:type="continuationSeparator" w:id="0">
    <w:p>
      <w:pPr>
        <w:spacing w:line="240" w:lineRule="auto"/>
      </w:pPr>
      <w:r>
        <w:continuationSeparator/>
      </w:r>
    </w:p>
  </w:footnote>
  <w:footnote w:id="2">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РИА Рейтинг. Итоговый рейтинг регионов РФ – 2024 [электронный ресурс]. URL:  </w:t>
      </w:r>
      <w:hyperlink r:id="rId1" w:tooltip="https://riarating.ru/infografika/20241223/630274686.html" w:history="1">
        <w:r>
          <w:rPr>
            <w:rStyle w:val="1652"/>
            <w:rFonts w:ascii="Times New Roman" w:hAnsi="Times New Roman"/>
            <w:color w:val="auto"/>
          </w:rPr>
          <w:t xml:space="preserve">https://riarating.ru/infografika/20241223/630274686.html</w:t>
        </w:r>
      </w:hyperlink>
      <w:r>
        <w:rPr>
          <w:rFonts w:ascii="Times New Roman" w:hAnsi="Times New Roman"/>
        </w:rPr>
        <w:t xml:space="preserve">; РИА Рейтинг. Итоговый рейтинг регионов РФ – 2025 [электронный ресурс]. URL:  </w:t>
      </w:r>
      <w:hyperlink r:id="rId2" w:tooltip="https://riarating.ru/infografika/20251222/630290560.html" w:history="1">
        <w:r>
          <w:rPr>
            <w:rStyle w:val="1652"/>
            <w:rFonts w:ascii="Times New Roman" w:hAnsi="Times New Roman"/>
            <w:color w:val="auto"/>
          </w:rPr>
          <w:t xml:space="preserve">https://riarating.ru/infografika/20251222/630290560.html</w:t>
        </w:r>
      </w:hyperlink>
      <w:r>
        <w:rPr>
          <w:rFonts w:ascii="Times New Roman" w:hAnsi="Times New Roman"/>
        </w:rPr>
        <w:t xml:space="preserve">. Итоговый рейтинговый балл рассчитывается как среднее арифметическое рейтинговых баллов регионов в следующих рейтингах РИА Новости за отчетный год: «Рейтинг регионов РФ по качеству жизни», «Рейтинг социально-экономич</w:t>
      </w:r>
      <w:r>
        <w:rPr>
          <w:rFonts w:ascii="Times New Roman" w:hAnsi="Times New Roman"/>
        </w:rPr>
        <w:t xml:space="preserve">еского положения субъектов РФ», «Рейтинг регионов по рынку труда», «Рейтинг регионов РФ по материальному благополучию населения», «Рейтинг регионов по научно-технологическому развитию», «Рейтинг регионов по приверженности населения здоровому образу жизни».</w:t>
      </w:r>
      <w:r>
        <w:rPr>
          <w:rFonts w:ascii="Times New Roman" w:hAnsi="Times New Roman"/>
        </w:rPr>
      </w:r>
    </w:p>
  </w:footnote>
  <w:footnote w:id="3">
    <w:p>
      <w:pPr>
        <w:pStyle w:val="1616"/>
        <w:jc w:val="both"/>
      </w:pPr>
      <w:r>
        <w:rPr>
          <w:rStyle w:val="1618"/>
        </w:rPr>
        <w:footnoteRef/>
      </w:r>
      <w:r>
        <w:t xml:space="preserve"> </w:t>
      </w:r>
      <w:r>
        <w:rPr>
          <w:rFonts w:ascii="Times New Roman" w:hAnsi="Times New Roman"/>
        </w:rPr>
        <w:t xml:space="preserve">Распоряжением Правительства Российской Федерации от 20.06.2025 № 1607-р наложены ограничения на распространение статис</w:t>
      </w:r>
      <w:r>
        <w:rPr>
          <w:rFonts w:ascii="Times New Roman" w:hAnsi="Times New Roman"/>
        </w:rPr>
        <w:t xml:space="preserve">тической информации, формируемой в соответствии с определенными позициями Федерального плана статистических работ, утвержденными распоряжением Правительства Российской Федерации от 06.05.2008 № 671-р, в том числе касающимися данных о численности населения.</w:t>
      </w:r>
    </w:p>
  </w:footnote>
  <w:footnote w:id="4">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ХМАО-Югра [электронный ресурс]. URL: </w:t>
      </w:r>
      <w:hyperlink r:id="rId3" w:tooltip="https://rosstat.gov.ru/compendium/document/13284" w:history="1">
        <w:r>
          <w:rPr>
            <w:rStyle w:val="1652"/>
            <w:rFonts w:ascii="Times New Roman" w:hAnsi="Times New Roman"/>
          </w:rPr>
          <w:t xml:space="preserve">https://rosstat.gov.ru/compendium/document/13284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ХМАО-Югры за 2022-2023 годы [электронный ресурс]. URL: </w:t>
      </w:r>
      <w:hyperlink r:id="rId4" w:tooltip="https://72.rosstat.gov.ru/ofs_demp_hmao" w:history="1">
        <w:r>
          <w:rPr>
            <w:rStyle w:val="1652"/>
            <w:rFonts w:ascii="Times New Roman" w:hAnsi="Times New Roman"/>
          </w:rPr>
          <w:t xml:space="preserve">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Ханты-Мансийского автономного округа – Югры по состоянию на </w:t>
      </w:r>
      <w:r>
        <w:rPr>
          <w:rFonts w:ascii="Times New Roman" w:hAnsi="Times New Roman"/>
        </w:rPr>
        <w:br/>
        <w:t xml:space="preserve">1 января 2024 года. Письмо </w:t>
      </w:r>
      <w:r>
        <w:rPr>
          <w:rFonts w:ascii="Times New Roman" w:hAnsi="Times New Roman"/>
        </w:rPr>
        <w:t xml:space="preserve">Тюменьстата</w:t>
      </w:r>
      <w:r>
        <w:rPr>
          <w:rFonts w:ascii="Times New Roman" w:hAnsi="Times New Roman"/>
        </w:rPr>
        <w:t xml:space="preserve"> от 26.02.2025 № ЮК-Т74-08/905-ДР.</w:t>
      </w:r>
      <w:r>
        <w:rPr>
          <w:rFonts w:ascii="Times New Roman" w:hAnsi="Times New Roman"/>
        </w:rPr>
      </w:r>
    </w:p>
  </w:footnote>
  <w:footnote w:id="5">
    <w:p>
      <w:pPr>
        <w:pStyle w:val="1616"/>
        <w:jc w:val="both"/>
        <w:rPr>
          <w:rFonts w:ascii="Times New Roman" w:hAnsi="Times New Roman"/>
        </w:rPr>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rPr>
          <w:rFonts w:ascii="Times New Roman" w:hAnsi="Times New Roman"/>
        </w:rPr>
      </w:r>
    </w:p>
  </w:footnote>
  <w:footnote w:id="6">
    <w:p>
      <w:pPr>
        <w:pStyle w:val="1616"/>
        <w:jc w:val="both"/>
        <w:rPr>
          <w:rFonts w:ascii="Times New Roman" w:hAnsi="Times New Roman"/>
        </w:rPr>
      </w:pPr>
      <w:r>
        <w:rPr>
          <w:rStyle w:val="1618"/>
        </w:rPr>
        <w:footnoteRef/>
      </w:r>
      <w:r>
        <w:t xml:space="preserve"> </w:t>
      </w:r>
      <w:r>
        <w:rPr>
          <w:rFonts w:ascii="Times New Roman" w:hAnsi="Times New Roman"/>
        </w:rPr>
        <w:t xml:space="preserve">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7">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8">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9">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10">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1">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2">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13">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4">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15">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6">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17">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8">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19">
    <w:p>
      <w:pPr>
        <w:pStyle w:val="1616"/>
        <w:jc w:val="both"/>
      </w:pPr>
      <w:r>
        <w:rPr>
          <w:rStyle w:val="1618"/>
        </w:rPr>
        <w:footnoteRef/>
      </w:r>
      <w:r>
        <w:t xml:space="preserve"> </w:t>
      </w:r>
      <w:r>
        <w:rPr>
          <w:rFonts w:ascii="Times New Roman" w:hAnsi="Times New Roman"/>
        </w:rPr>
        <w:t xml:space="preserve">Там же.</w:t>
      </w:r>
    </w:p>
  </w:footnote>
  <w:footnote w:id="20">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январе-декабре 2025 года [электронный ресурс]. </w:t>
      </w:r>
      <w:r>
        <w:rPr>
          <w:rFonts w:ascii="Times New Roman" w:hAnsi="Times New Roman"/>
        </w:rPr>
        <w:t xml:space="preserve">URL:  https://72.rosstat.gov.ru/news/document/278419</w:t>
      </w:r>
      <w:r>
        <w:rPr>
          <w:rFonts w:ascii="Times New Roman" w:hAnsi="Times New Roman"/>
        </w:rPr>
        <w:t xml:space="preserve"> (дата последнего обращения: 02.03.2026).</w:t>
      </w:r>
      <w:r>
        <w:rPr>
          <w:rFonts w:ascii="Times New Roman" w:hAnsi="Times New Roman"/>
        </w:rPr>
      </w:r>
    </w:p>
  </w:footnote>
  <w:footnote w:id="21">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22">
    <w:p>
      <w:pPr>
        <w:pStyle w:val="1616"/>
        <w:jc w:val="both"/>
      </w:pPr>
      <w:r>
        <w:rPr>
          <w:rStyle w:val="1618"/>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p>
  </w:footnote>
  <w:footnote w:id="23">
    <w:p>
      <w:pPr>
        <w:pStyle w:val="1616"/>
        <w:jc w:val="both"/>
        <w:rPr>
          <w:rFonts w:ascii="Times New Roman" w:hAnsi="Times New Roman"/>
          <w:lang w:val="en-US"/>
        </w:rPr>
      </w:pPr>
      <w:r>
        <w:rPr>
          <w:rStyle w:val="1618"/>
          <w:rFonts w:ascii="Times New Roman" w:hAnsi="Times New Roman"/>
        </w:rPr>
        <w:footnoteRef/>
      </w:r>
      <w:r>
        <w:rPr>
          <w:rFonts w:ascii="Times New Roman" w:hAnsi="Times New Roman"/>
        </w:rPr>
        <w:t xml:space="preserve"> Информация </w:t>
      </w:r>
      <w:r>
        <w:rPr>
          <w:rFonts w:ascii="Times New Roman" w:hAnsi="Times New Roman"/>
        </w:rPr>
        <w:t xml:space="preserve">Депспорта</w:t>
      </w:r>
      <w:r>
        <w:rPr>
          <w:rFonts w:ascii="Times New Roman" w:hAnsi="Times New Roman"/>
        </w:rPr>
        <w:t xml:space="preserve"> Югры за 2024 год [электронный ресурс]. </w:t>
      </w:r>
      <w:r>
        <w:rPr>
          <w:rFonts w:ascii="Times New Roman" w:hAnsi="Times New Roman"/>
          <w:lang w:val="en-US"/>
        </w:rPr>
        <w:t xml:space="preserve">URL: https://depsport.admhmao.ru/activity/otraslevye-napravleniya/gosudarstvennye-programmy/17606-razvitie-fizicheskoy-kultury-i-sporta-v-khanty-mansiyskom-avtonomnomnom-okruge-yugre-na-2014-2020-go/informatsiya-za-2024-god_11343149/</w:t>
      </w:r>
      <w:r>
        <w:rPr>
          <w:rFonts w:ascii="Times New Roman" w:hAnsi="Times New Roman"/>
          <w:lang w:val="en-US"/>
        </w:rPr>
      </w:r>
    </w:p>
  </w:footnote>
  <w:footnote w:id="24">
    <w:p>
      <w:pPr>
        <w:pStyle w:val="1616"/>
        <w:rPr>
          <w:lang w:val="en-US"/>
        </w:rPr>
      </w:pPr>
      <w:r>
        <w:rPr>
          <w:rStyle w:val="1618"/>
        </w:rPr>
        <w:footnoteRef/>
      </w:r>
      <w:r>
        <w:t xml:space="preserve"> </w:t>
      </w:r>
      <w:r>
        <w:rPr>
          <w:rFonts w:ascii="Times New Roman" w:hAnsi="Times New Roman"/>
        </w:rPr>
        <w:t xml:space="preserve">Проект «Стратегии социально-экономического развития Ханты-Мансийского автономного округа – Югры до 2036 года с целевыми ориентирами до 2050 года» [электронный ресурс]. </w:t>
      </w:r>
      <w:r>
        <w:rPr>
          <w:rFonts w:ascii="Times New Roman" w:hAnsi="Times New Roman"/>
          <w:lang w:val="en-US"/>
        </w:rPr>
        <w:t xml:space="preserve">URL:  https://economy.gov.ru/material/file/ec006df0d7541c062798c240fd13d56a/proekt_strategii_yugry_do_2036_goda.pdf</w:t>
      </w:r>
      <w:r>
        <w:rPr>
          <w:lang w:val="en-US"/>
        </w:rPr>
      </w:r>
    </w:p>
  </w:footnote>
  <w:footnote w:id="25">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Итоги социально-экономического развития отрасли «Образование» [электронный ресурс]. URL: https://depobr.admhmao.ru/activity/deyatelnost/statisticheskaya-inform/</w:t>
      </w:r>
      <w:r>
        <w:rPr>
          <w:rFonts w:ascii="Times New Roman" w:hAnsi="Times New Roman"/>
        </w:rPr>
      </w:r>
    </w:p>
  </w:footnote>
  <w:footnote w:id="26">
    <w:p>
      <w:pPr>
        <w:pStyle w:val="1616"/>
        <w:jc w:val="both"/>
        <w:rPr>
          <w:rFonts w:ascii="Times New Roman" w:hAnsi="Times New Roman"/>
          <w:lang w:val="en-US"/>
        </w:rPr>
      </w:pPr>
      <w:r>
        <w:rPr>
          <w:rStyle w:val="1618"/>
          <w:rFonts w:ascii="Times New Roman" w:hAnsi="Times New Roman"/>
        </w:rPr>
        <w:footnoteRef/>
      </w:r>
      <w:r>
        <w:rPr>
          <w:rFonts w:ascii="Times New Roman" w:hAnsi="Times New Roman"/>
        </w:rPr>
        <w:t xml:space="preserve"> Проект «Стратегии социально-экономического развития Ханты-Мансийского автономного округа – Югры до 2036 года с целевыми ориентирами до 2050 года» [электронный ресурс]. </w:t>
      </w:r>
      <w:r>
        <w:rPr>
          <w:rFonts w:ascii="Times New Roman" w:hAnsi="Times New Roman"/>
          <w:lang w:val="en-US"/>
        </w:rPr>
        <w:t xml:space="preserve">URL:  https://economy.gov.ru/material/file/ec006df0d7541c062798c240fd13d56a/proekt_strategii_yugry_do_2036_goda.pdf</w:t>
      </w:r>
      <w:r>
        <w:rPr>
          <w:rFonts w:ascii="Times New Roman" w:hAnsi="Times New Roman"/>
          <w:lang w:val="en-US"/>
        </w:rPr>
      </w:r>
    </w:p>
  </w:footnote>
  <w:footnote w:id="27">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Статистический ежегодник: </w:t>
      </w:r>
      <w:r>
        <w:rPr>
          <w:rFonts w:ascii="Times New Roman" w:hAnsi="Times New Roman"/>
        </w:rPr>
        <w:t xml:space="preserve">Стат. сб. Ханты-Мансийский автономный округ – Югра в 2-х частях. Ч II. (2017-2024)/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2025.</w:t>
      </w:r>
      <w:r>
        <w:rPr>
          <w:rFonts w:ascii="Times New Roman" w:hAnsi="Times New Roman"/>
        </w:rPr>
      </w:r>
    </w:p>
  </w:footnote>
  <w:footnote w:id="28">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Сведения об уровне жизни населения, о демографической ситуации, структуре занятости населения с динамикой уровня безработицы, динамике денежных доходов населения по муниципальным образованиям ХМАО-Югры. Письмо </w:t>
      </w:r>
      <w:r>
        <w:rPr>
          <w:rFonts w:ascii="Times New Roman" w:hAnsi="Times New Roman"/>
        </w:rPr>
        <w:t xml:space="preserve">Депэкономики</w:t>
      </w:r>
      <w:r>
        <w:rPr>
          <w:rFonts w:ascii="Times New Roman" w:hAnsi="Times New Roman"/>
        </w:rPr>
        <w:t xml:space="preserve"> Югры от 05.02.2026 № 22-Исх-851.</w:t>
      </w:r>
      <w:r>
        <w:rPr>
          <w:rFonts w:ascii="Times New Roman" w:hAnsi="Times New Roman"/>
        </w:rPr>
      </w:r>
    </w:p>
  </w:footnote>
  <w:footnote w:id="29">
    <w:p>
      <w:pPr>
        <w:pStyle w:val="1616"/>
        <w:jc w:val="both"/>
      </w:pPr>
      <w:r>
        <w:rPr>
          <w:rStyle w:val="1618"/>
          <w:rFonts w:ascii="Times New Roman" w:hAnsi="Times New Roman"/>
        </w:rPr>
        <w:footnoteRef/>
      </w:r>
      <w:r>
        <w:rPr>
          <w:rFonts w:ascii="Times New Roman" w:hAnsi="Times New Roman"/>
        </w:rPr>
        <w:t xml:space="preserve"> Информационно-справочные материалы о наркоситуации на территории Ханты-Мансийского автономного округа-Югры за 2024 год. Письмо УМВД России по ХМАО-Югре на № 44-Исх-361 от 17.01.2025.</w:t>
      </w:r>
    </w:p>
  </w:footnote>
  <w:footnote w:id="30">
    <w:p>
      <w:pPr>
        <w:pStyle w:val="1616"/>
        <w:jc w:val="both"/>
      </w:pPr>
      <w:r>
        <w:rPr>
          <w:rStyle w:val="1618"/>
        </w:rPr>
        <w:footnoteRef/>
      </w:r>
      <w:r>
        <w:t xml:space="preserve"> </w:t>
      </w:r>
      <w:r>
        <w:rPr>
          <w:rFonts w:ascii="Times New Roman" w:hAnsi="Times New Roman"/>
        </w:rPr>
        <w:t xml:space="preserve">Информационно-справочные материалы о наркоситуации на территории Ханты-Мансийского автономного округа-Югры за 2025 год. Письмо УМВД России по ХМАО-Югре на № 44-Исх-1161 от 27.01.2026.</w:t>
      </w:r>
    </w:p>
  </w:footnote>
  <w:footnote w:id="31">
    <w:p>
      <w:pPr>
        <w:pStyle w:val="1616"/>
        <w:jc w:val="both"/>
        <w:rPr>
          <w:rStyle w:val="1618"/>
          <w:rFonts w:ascii="Times New Roman" w:hAnsi="Times New Roman" w:eastAsiaTheme="majorEastAsia"/>
          <w:vertAlign w:val="baseline"/>
        </w:rPr>
      </w:pPr>
      <w:r>
        <w:rPr>
          <w:rStyle w:val="1618"/>
          <w:rFonts w:ascii="Times New Roman" w:hAnsi="Times New Roman" w:eastAsiaTheme="majorEastAsia"/>
        </w:rPr>
        <w:footnoteRef/>
      </w:r>
      <w:r>
        <w:rPr>
          <w:rStyle w:val="1618"/>
          <w:rFonts w:ascii="Times New Roman" w:hAnsi="Times New Roman" w:eastAsiaTheme="majorEastAsia"/>
        </w:rPr>
        <w:t xml:space="preserve"> </w:t>
      </w:r>
      <w:r>
        <w:rPr>
          <w:rStyle w:val="1618"/>
          <w:rFonts w:ascii="Times New Roman" w:hAnsi="Times New Roman" w:eastAsiaTheme="majorEastAsia"/>
          <w:color w:val="000000"/>
          <w:vertAlign w:val="baseline"/>
        </w:rPr>
        <w:t xml:space="preserve">По данным сборника методичес</w:t>
      </w:r>
      <w:r>
        <w:rPr>
          <w:rStyle w:val="1618"/>
          <w:rFonts w:ascii="Times New Roman" w:hAnsi="Times New Roman" w:eastAsiaTheme="majorEastAsia"/>
          <w:color w:val="000000"/>
          <w:vertAlign w:val="baseline"/>
        </w:rPr>
        <w:t xml:space="preserve">ких рекомендаций и статистических материалов «Диагностика и лечение психических и наркологических расстройств: современные подходы» / сост. Н.В. Семенова, под общ. ред. Н.Г. Незнанова. Выпуск 8. СПб. НМИЦ психиатрии и неврологии им. В.М. Бехтерева. 2025 г.</w:t>
      </w:r>
      <w:r>
        <w:rPr>
          <w:rStyle w:val="1618"/>
          <w:rFonts w:ascii="Times New Roman" w:hAnsi="Times New Roman" w:eastAsiaTheme="majorEastAsia"/>
          <w:vertAlign w:val="baseline"/>
        </w:rPr>
      </w:r>
    </w:p>
  </w:footnote>
  <w:footnote w:id="32">
    <w:p>
      <w:pPr>
        <w:pStyle w:val="1616"/>
        <w:jc w:val="both"/>
        <w:rPr>
          <w:rStyle w:val="1618"/>
          <w:rFonts w:ascii="Times New Roman" w:hAnsi="Times New Roman" w:eastAsiaTheme="majorEastAsia"/>
          <w:vertAlign w:val="baseline"/>
        </w:rPr>
      </w:pPr>
      <w:r>
        <w:rPr>
          <w:rStyle w:val="1618"/>
          <w:rFonts w:ascii="Times New Roman" w:hAnsi="Times New Roman" w:eastAsiaTheme="majorEastAsia"/>
        </w:rPr>
        <w:footnoteRef/>
      </w:r>
      <w:r>
        <w:rPr>
          <w:rStyle w:val="1618"/>
          <w:rFonts w:ascii="Times New Roman" w:hAnsi="Times New Roman" w:eastAsiaTheme="majorEastAsia"/>
          <w:color w:val="000000"/>
          <w:vertAlign w:val="baseline"/>
        </w:rPr>
        <w:t xml:space="preserve"> </w:t>
      </w:r>
      <w:r>
        <w:rPr>
          <w:rFonts w:ascii="Times New Roman" w:hAnsi="Times New Roman" w:eastAsiaTheme="majorEastAsia"/>
          <w:color w:val="000000"/>
        </w:rPr>
        <w:t xml:space="preserve">У</w:t>
      </w:r>
      <w:r>
        <w:rPr>
          <w:rStyle w:val="1618"/>
          <w:rFonts w:ascii="Times New Roman" w:hAnsi="Times New Roman" w:eastAsiaTheme="majorEastAsia"/>
          <w:color w:val="000000"/>
          <w:vertAlign w:val="baseline"/>
        </w:rPr>
        <w:t xml:space="preserve">твержден приказом Минздрава России от 30.12.201</w:t>
      </w:r>
      <w:r>
        <w:rPr>
          <w:rStyle w:val="1618"/>
          <w:rFonts w:ascii="Times New Roman" w:hAnsi="Times New Roman" w:eastAsiaTheme="majorEastAsia"/>
          <w:color w:val="000000"/>
          <w:vertAlign w:val="baseline"/>
        </w:rP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Style w:val="1618"/>
          <w:rFonts w:ascii="Times New Roman" w:hAnsi="Times New Roman" w:eastAsiaTheme="majorEastAsia"/>
          <w:vertAlign w:val="baseline"/>
        </w:rPr>
      </w:r>
    </w:p>
  </w:footnote>
  <w:footnote w:id="33">
    <w:p>
      <w:pPr>
        <w:pStyle w:val="1616"/>
        <w:jc w:val="both"/>
        <w:rPr>
          <w:rStyle w:val="1618"/>
          <w:rFonts w:ascii="Times New Roman" w:hAnsi="Times New Roman" w:eastAsiaTheme="majorEastAsia"/>
          <w:vertAlign w:val="baseline"/>
        </w:rPr>
      </w:pPr>
      <w:r>
        <w:rPr>
          <w:rStyle w:val="1618"/>
          <w:rFonts w:ascii="Times New Roman" w:hAnsi="Times New Roman" w:eastAsiaTheme="majorEastAsia"/>
        </w:rPr>
        <w:footnoteRef/>
      </w:r>
      <w:r>
        <w:rPr>
          <w:rStyle w:val="1618"/>
          <w:rFonts w:ascii="Times New Roman" w:hAnsi="Times New Roman" w:eastAsiaTheme="majorEastAsia"/>
          <w:color w:val="000000"/>
        </w:rPr>
        <w:t xml:space="preserve"> </w:t>
      </w:r>
      <w:r>
        <w:rPr>
          <w:rStyle w:val="1618"/>
          <w:rFonts w:ascii="Times New Roman" w:hAnsi="Times New Roman" w:eastAsiaTheme="majorEastAsia"/>
          <w:color w:val="000000"/>
          <w:vertAlign w:val="baseline"/>
        </w:rPr>
        <w:t xml:space="preserve">В тексте и далее сведения </w:t>
      </w:r>
      <w:r>
        <w:rPr>
          <w:rStyle w:val="1618"/>
          <w:rFonts w:ascii="Times New Roman" w:hAnsi="Times New Roman" w:eastAsiaTheme="majorEastAsia"/>
          <w:b/>
          <w:bCs/>
          <w:color w:val="000000"/>
          <w:vertAlign w:val="baseline"/>
        </w:rPr>
        <w:t xml:space="preserve">за 2025</w:t>
      </w:r>
      <w:r>
        <w:rPr>
          <w:rStyle w:val="1618"/>
          <w:rFonts w:ascii="Times New Roman" w:hAnsi="Times New Roman" w:eastAsiaTheme="majorEastAsia"/>
          <w:color w:val="000000"/>
          <w:vertAlign w:val="baseline"/>
        </w:rPr>
        <w:t xml:space="preserve"> </w:t>
      </w:r>
      <w:r>
        <w:rPr>
          <w:rStyle w:val="1618"/>
          <w:rFonts w:ascii="Times New Roman" w:hAnsi="Times New Roman" w:eastAsiaTheme="majorEastAsia"/>
          <w:b/>
          <w:bCs/>
          <w:color w:val="000000"/>
          <w:vertAlign w:val="baseline"/>
        </w:rPr>
        <w:t xml:space="preserve">г.</w:t>
      </w:r>
      <w:r>
        <w:rPr>
          <w:rStyle w:val="1618"/>
          <w:rFonts w:ascii="Times New Roman" w:hAnsi="Times New Roman" w:eastAsiaTheme="majorEastAsia"/>
          <w:color w:val="000000"/>
          <w:vertAlign w:val="baseline"/>
        </w:rPr>
        <w:t xml:space="preserve"> представлены в соответствии с федеральной формой статистического наблюдения № 11 «Сведения о заболеваниях наркологическими расстройствами», утвержденной приказом Росстата от 12.12.2025 № 709; </w:t>
      </w:r>
      <w:r>
        <w:rPr>
          <w:rStyle w:val="1618"/>
          <w:rFonts w:ascii="Times New Roman" w:hAnsi="Times New Roman" w:eastAsiaTheme="majorEastAsia"/>
          <w:b/>
          <w:bCs/>
          <w:color w:val="000000"/>
          <w:vertAlign w:val="baseline"/>
        </w:rPr>
        <w:t xml:space="preserve">за 2024 г.</w:t>
      </w:r>
      <w:r>
        <w:rPr>
          <w:rStyle w:val="1618"/>
          <w:rFonts w:ascii="Times New Roman" w:hAnsi="Times New Roman" w:eastAsiaTheme="majorEastAsia"/>
          <w:color w:val="000000"/>
          <w:vertAlign w:val="baseline"/>
        </w:rPr>
        <w:t xml:space="preserve"> – в соответствии с федеральными формами статистического</w:t>
      </w:r>
      <w:r>
        <w:rPr>
          <w:rStyle w:val="1618"/>
          <w:rFonts w:ascii="Times New Roman" w:hAnsi="Times New Roman" w:eastAsiaTheme="majorEastAsia"/>
          <w:color w:val="000000"/>
          <w:vertAlign w:val="baseline"/>
        </w:rPr>
        <w:t xml:space="preserve"> наблюдения № 11 «Сведения о заболеваниях наркологическими расстройствами» и № 37 «Сведения о пациентах, больных алкоголизмом, наркоманиями, токсикоманиями», утвержденными приказом Росстата от 16.10.2013 № 410 и по возможности «приведены к виду 2025 года».</w:t>
      </w:r>
      <w:r>
        <w:rPr>
          <w:rStyle w:val="1618"/>
          <w:rFonts w:ascii="Times New Roman" w:hAnsi="Times New Roman" w:eastAsiaTheme="majorEastAsia"/>
          <w:vertAlign w:val="baseline"/>
        </w:rPr>
      </w:r>
    </w:p>
  </w:footnote>
  <w:footnote w:id="34">
    <w:p>
      <w:pPr>
        <w:pStyle w:val="1616"/>
        <w:jc w:val="both"/>
        <w:rPr>
          <w:rStyle w:val="1618"/>
          <w:rFonts w:ascii="Times New Roman" w:hAnsi="Times New Roman" w:eastAsiaTheme="majorEastAsia"/>
          <w:vertAlign w:val="baseline"/>
        </w:rPr>
      </w:pPr>
      <w:r>
        <w:rPr>
          <w:rStyle w:val="1618"/>
          <w:rFonts w:ascii="Times New Roman" w:hAnsi="Times New Roman" w:eastAsiaTheme="majorEastAsia"/>
        </w:rPr>
        <w:footnoteRef/>
      </w:r>
      <w:r>
        <w:rPr>
          <w:rStyle w:val="1618"/>
          <w:rFonts w:ascii="Times New Roman" w:hAnsi="Times New Roman" w:eastAsiaTheme="majorEastAsia"/>
          <w:color w:val="000000"/>
          <w:vertAlign w:val="baseline"/>
        </w:rPr>
        <w:t xml:space="preserve"> Приказ Минздрава России от 30</w:t>
      </w:r>
      <w:r>
        <w:rPr>
          <w:rFonts w:ascii="Times New Roman" w:hAnsi="Times New Roman" w:eastAsiaTheme="majorEastAsia"/>
          <w:color w:val="000000"/>
        </w:rPr>
        <w:t xml:space="preserve">.07.</w:t>
      </w:r>
      <w:r>
        <w:rPr>
          <w:rStyle w:val="1618"/>
          <w:rFonts w:ascii="Times New Roman" w:hAnsi="Times New Roman" w:eastAsiaTheme="majorEastAsia"/>
          <w:color w:val="000000"/>
          <w:vertAlign w:val="baseline"/>
        </w:rPr>
        <w:t xml:space="preserve">2019</w:t>
      </w:r>
      <w:r>
        <w:rPr>
          <w:rFonts w:ascii="Times New Roman" w:hAnsi="Times New Roman" w:eastAsiaTheme="majorEastAsia"/>
          <w:color w:val="000000"/>
        </w:rPr>
        <w:t xml:space="preserve"> №</w:t>
      </w:r>
      <w:r>
        <w:rPr>
          <w:rStyle w:val="1618"/>
          <w:rFonts w:ascii="Times New Roman" w:hAnsi="Times New Roman" w:eastAsiaTheme="majorEastAsia"/>
          <w:color w:val="000000"/>
          <w:vertAlign w:val="baseline"/>
        </w:rPr>
        <w:t xml:space="preserve"> 573н "О внесении изменений в приложения № 1 и 2 к приказу Министерства здравоохранения Российской Федерации от 30 декабря 2015 г</w:t>
      </w:r>
      <w:r>
        <w:rPr>
          <w:rStyle w:val="1618"/>
          <w:rFonts w:ascii="Times New Roman" w:hAnsi="Times New Roman" w:eastAsiaTheme="majorEastAsia"/>
          <w:color w:val="000000"/>
          <w:vertAlign w:val="baseline"/>
        </w:rPr>
        <w:t xml:space="preserve">.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Style w:val="1618"/>
          <w:rFonts w:ascii="Times New Roman" w:hAnsi="Times New Roman" w:eastAsiaTheme="majorEastAsia"/>
          <w:vertAlign w:val="baseline"/>
        </w:rPr>
      </w:r>
    </w:p>
  </w:footnote>
  <w:footnote w:id="35">
    <w:p>
      <w:pPr>
        <w:pStyle w:val="1616"/>
        <w:rPr>
          <w:rFonts w:ascii="Times New Roman" w:hAnsi="Times New Roman"/>
        </w:rPr>
      </w:pPr>
      <w:r>
        <w:rPr>
          <w:rStyle w:val="1618"/>
          <w:rFonts w:ascii="Times New Roman" w:hAnsi="Times New Roman"/>
        </w:rPr>
        <w:footnoteRef/>
      </w:r>
      <w:r>
        <w:rPr>
          <w:rFonts w:ascii="Times New Roman" w:hAnsi="Times New Roman"/>
        </w:rPr>
        <w:t xml:space="preserve"> </w:t>
      </w:r>
      <w:r>
        <w:rPr>
          <w:rFonts w:ascii="Times New Roman" w:hAnsi="Times New Roman"/>
          <w:color w:val="000000"/>
        </w:rPr>
        <w:t xml:space="preserve">Здесь и далее – АППГ – аналогичный показатель предыдущего года.</w:t>
      </w:r>
      <w:r>
        <w:rPr>
          <w:rFonts w:ascii="Times New Roman" w:hAnsi="Times New Roman"/>
        </w:rPr>
      </w:r>
    </w:p>
  </w:footnote>
  <w:footnote w:id="36">
    <w:p>
      <w:pPr>
        <w:pStyle w:val="1616"/>
        <w:jc w:val="both"/>
        <w:rPr>
          <w:rFonts w:ascii="Times New Roman" w:hAnsi="Times New Roman"/>
          <w:szCs w:val="18"/>
        </w:rPr>
      </w:pPr>
      <w:r>
        <w:rPr>
          <w:rStyle w:val="1618"/>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18.12.2023 № 2205-р «Об утверждении Порядка проведения отбора организаций для включения в реестр негосударственных организаций, осуществляющих социальную реабилитацию и </w:t>
      </w:r>
      <w:r>
        <w:rPr>
          <w:rFonts w:ascii="Times New Roman" w:hAnsi="Times New Roman"/>
        </w:rPr>
        <w:t xml:space="preserve">ресоциализацию</w:t>
      </w:r>
      <w:r>
        <w:rPr>
          <w:rFonts w:ascii="Times New Roman" w:hAnsi="Times New Roman"/>
        </w:rPr>
        <w:t xml:space="preserve"> лиц, употребляющих наркотические, психотропные и (или) иные токсические вещества и прошедших обследование и лечение от зависимости, и признании утратившими силу некоторых приказов </w:t>
      </w:r>
      <w:r>
        <w:rPr>
          <w:rFonts w:ascii="Times New Roman" w:hAnsi="Times New Roman"/>
        </w:rPr>
        <w:t xml:space="preserve">Депсоцразвития</w:t>
      </w:r>
      <w:r>
        <w:rPr>
          <w:rFonts w:ascii="Times New Roman" w:hAnsi="Times New Roman"/>
        </w:rPr>
        <w:t xml:space="preserve"> Югры»;</w:t>
      </w:r>
      <w:r>
        <w:rPr>
          <w:rFonts w:ascii="Times New Roman" w:hAnsi="Times New Roman"/>
          <w:szCs w:val="18"/>
        </w:rPr>
      </w:r>
    </w:p>
  </w:footnote>
  <w:footnote w:id="37">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Постановления Правительства автономного округа:</w:t>
      </w:r>
      <w:r>
        <w:rPr>
          <w:rFonts w:ascii="Times New Roman" w:hAnsi="Times New Roman"/>
        </w:rPr>
      </w:r>
    </w:p>
    <w:p>
      <w:pPr>
        <w:pStyle w:val="1616"/>
        <w:ind w:firstLine="709"/>
        <w:jc w:val="both"/>
        <w:rPr>
          <w:rFonts w:ascii="Times New Roman" w:hAnsi="Times New Roman"/>
        </w:rPr>
      </w:pPr>
      <w:r>
        <w:rPr>
          <w:rFonts w:ascii="Times New Roman" w:hAnsi="Times New Roman"/>
        </w:rPr>
        <w:t xml:space="preserve">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w:t>
      </w:r>
      <w:r>
        <w:rPr>
          <w:rFonts w:ascii="Times New Roman" w:hAnsi="Times New Roman"/>
        </w:rPr>
      </w:r>
    </w:p>
    <w:p>
      <w:pPr>
        <w:pStyle w:val="1616"/>
        <w:ind w:firstLine="709"/>
        <w:jc w:val="both"/>
        <w:rPr>
          <w:rFonts w:ascii="Times New Roman" w:hAnsi="Times New Roman"/>
          <w:sz w:val="16"/>
          <w:szCs w:val="16"/>
        </w:rPr>
      </w:pPr>
      <w:r>
        <w:rPr>
          <w:rFonts w:ascii="Times New Roman" w:hAnsi="Times New Roman"/>
        </w:rPr>
        <w:t xml:space="preserve">от 31.10.2014 № 395-п «О Порядке и размере выплаты компенсации поставщику </w:t>
      </w:r>
      <w:r>
        <w:rPr>
          <w:rFonts w:ascii="Times New Roman" w:hAnsi="Times New Roman"/>
        </w:rPr>
        <w:br/>
        <w:t xml:space="preserve">или поставщикам социальных услуг, включенным в реестр поставщиков социальных услуг </w:t>
      </w:r>
      <w:r>
        <w:rPr>
          <w:rFonts w:ascii="Times New Roman" w:hAnsi="Times New Roman"/>
        </w:rPr>
        <w:br/>
        <w:t xml:space="preserve">Ханты-Мансийского автономного округа – Югры, но не участвующим 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r>
        <w:rPr>
          <w:rFonts w:ascii="Times New Roman" w:hAnsi="Times New Roman"/>
          <w:sz w:val="16"/>
          <w:szCs w:val="16"/>
        </w:rPr>
      </w:r>
    </w:p>
  </w:footnote>
  <w:footnote w:id="38">
    <w:p>
      <w:pPr>
        <w:pStyle w:val="1644"/>
        <w:shd w:val="clear" w:color="auto" w:fill="auto"/>
        <w:tabs>
          <w:tab w:val="left" w:pos="134" w:leader="none"/>
        </w:tabs>
        <w:spacing w:line="240" w:lineRule="auto"/>
        <w:rPr>
          <w:b w:val="0"/>
          <w:sz w:val="20"/>
          <w:szCs w:val="20"/>
        </w:rPr>
      </w:pPr>
      <w:r>
        <w:rPr>
          <w:b w:val="0"/>
          <w:color w:val="000000"/>
          <w:sz w:val="20"/>
          <w:szCs w:val="20"/>
          <w:vertAlign w:val="superscript"/>
          <w:lang w:bidi="ru-RU"/>
        </w:rPr>
        <w:footnoteRef/>
      </w:r>
      <w:r>
        <w:rPr>
          <w:b w:val="0"/>
          <w:color w:val="000000"/>
          <w:sz w:val="20"/>
          <w:szCs w:val="20"/>
          <w:lang w:bidi="ru-RU"/>
        </w:rPr>
        <w:t xml:space="preserve"> 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автономного округа.</w:t>
      </w:r>
      <w:r>
        <w:rPr>
          <w:b w:val="0"/>
          <w:sz w:val="20"/>
          <w:szCs w:val="20"/>
        </w:rPr>
      </w:r>
    </w:p>
  </w:footnote>
  <w:footnote w:id="39">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21.04.2023 № 540–р «О перепрофилировании деятельности учреждений, подведомственных </w:t>
      </w:r>
      <w:r>
        <w:rPr>
          <w:rFonts w:ascii="Times New Roman" w:hAnsi="Times New Roman"/>
        </w:rPr>
        <w:t xml:space="preserve">Депсоцразвития</w:t>
      </w:r>
      <w:r>
        <w:rPr>
          <w:rFonts w:ascii="Times New Roman" w:hAnsi="Times New Roman"/>
        </w:rPr>
        <w:t xml:space="preserve"> Югры, для реабилитации несовершеннолетних с различными видами зависимостей».</w:t>
      </w:r>
      <w:r>
        <w:rPr>
          <w:rFonts w:ascii="Times New Roman" w:hAnsi="Times New Roman"/>
        </w:rPr>
      </w:r>
    </w:p>
  </w:footnote>
  <w:footnote w:id="40">
    <w:p>
      <w:pPr>
        <w:pStyle w:val="1616"/>
        <w:jc w:val="both"/>
        <w:rPr>
          <w:rFonts w:ascii="Times New Roman" w:hAnsi="Times New Roman"/>
          <w:color w:val="000000" w:themeColor="text1"/>
        </w:rPr>
      </w:pPr>
      <w:r>
        <w:rPr>
          <w:rFonts w:ascii="Times New Roman" w:hAnsi="Times New Roman"/>
          <w:color w:val="000000" w:themeColor="text1"/>
          <w:vertAlign w:val="superscript"/>
        </w:rPr>
        <w:footnoteRef/>
      </w:r>
      <w:r>
        <w:rPr>
          <w:rFonts w:ascii="Times New Roman" w:hAnsi="Times New Roman"/>
          <w:color w:val="000000" w:themeColor="text1"/>
        </w:rPr>
        <w:t xml:space="preserve"> Приказ </w:t>
      </w:r>
      <w:r>
        <w:rPr>
          <w:rFonts w:ascii="Times New Roman" w:hAnsi="Times New Roman"/>
          <w:color w:val="000000" w:themeColor="text1"/>
        </w:rPr>
        <w:t xml:space="preserve">Депсоцразвития</w:t>
      </w:r>
      <w:r>
        <w:rPr>
          <w:rFonts w:ascii="Times New Roman" w:hAnsi="Times New Roman"/>
          <w:color w:val="000000" w:themeColor="text1"/>
        </w:rPr>
        <w:t xml:space="preserve"> Югры от 12.02.2025 № 99-р «Об утверждении отраслевого плана мероприяти</w:t>
      </w:r>
      <w:r>
        <w:rPr>
          <w:rFonts w:ascii="Times New Roman" w:hAnsi="Times New Roman"/>
          <w:color w:val="000000" w:themeColor="text1"/>
          <w:highlight w:val="white"/>
        </w:rPr>
        <w:t xml:space="preserve">й по профилактике потребления наркотических и психотропных веществ в немедицинских целях, спиртосодержащей продукции среди несовершеннолетних, а также формированию у них навы</w:t>
      </w:r>
      <w:r>
        <w:rPr>
          <w:rFonts w:ascii="Times New Roman" w:hAnsi="Times New Roman"/>
          <w:color w:val="000000" w:themeColor="text1"/>
        </w:rPr>
        <w:t xml:space="preserve">ков здорового образа жизни».</w:t>
      </w:r>
      <w:r>
        <w:rPr>
          <w:rFonts w:ascii="Times New Roman" w:hAnsi="Times New Roman"/>
          <w:color w:val="000000" w:themeColor="text1"/>
        </w:rPr>
      </w:r>
    </w:p>
  </w:footnote>
  <w:footnote w:id="41">
    <w:p>
      <w:pPr>
        <w:pStyle w:val="1616"/>
        <w:rPr>
          <w:rFonts w:ascii="Times New Roman" w:hAnsi="Times New Roman"/>
        </w:rPr>
      </w:pPr>
      <w:r>
        <w:rPr>
          <w:rStyle w:val="1618"/>
          <w:rFonts w:ascii="Times New Roman" w:hAnsi="Times New Roman"/>
        </w:rPr>
        <w:footnoteRef/>
      </w:r>
      <w:r>
        <w:rPr>
          <w:rFonts w:ascii="Times New Roman" w:hAnsi="Times New Roman"/>
        </w:rPr>
        <w:t xml:space="preserve"> Здесь и далее – </w:t>
      </w:r>
      <w:r>
        <w:rPr>
          <w:rFonts w:ascii="Times New Roman" w:hAnsi="Times New Roman"/>
        </w:rPr>
        <w:t xml:space="preserve">п.г</w:t>
      </w:r>
      <w:r>
        <w:rPr>
          <w:rFonts w:ascii="Times New Roman" w:hAnsi="Times New Roman"/>
        </w:rPr>
        <w:t xml:space="preserve">. – прошлый год.</w:t>
      </w:r>
      <w:r>
        <w:rPr>
          <w:rFonts w:ascii="Times New Roman" w:hAnsi="Times New Roman"/>
        </w:rPr>
      </w:r>
    </w:p>
  </w:footnote>
  <w:footnote w:id="42">
    <w:p>
      <w:pPr>
        <w:pStyle w:val="1616"/>
        <w:jc w:val="both"/>
        <w:rPr>
          <w:rFonts w:ascii="Times New Roman" w:hAnsi="Times New Roman"/>
        </w:rPr>
      </w:pPr>
      <w:r>
        <w:rPr>
          <w:rStyle w:val="1618"/>
          <w:rFonts w:ascii="Times New Roman" w:hAnsi="Times New Roman" w:eastAsia="Arial"/>
        </w:rPr>
        <w:footnoteRef/>
      </w:r>
      <w:r>
        <w:rPr>
          <w:rFonts w:ascii="Times New Roman" w:hAnsi="Times New Roman"/>
        </w:rPr>
        <w:t xml:space="preserve"> Форма № 6-МВ-НОН «Сведения о лицах, осужденных за преступления, связанные с незаконным оборотом наркотических средств, психотропных веществ и их </w:t>
      </w:r>
      <w:r>
        <w:rPr>
          <w:rFonts w:ascii="Times New Roman" w:hAnsi="Times New Roman"/>
        </w:rPr>
        <w:t xml:space="preserve">прекурсоров</w:t>
      </w:r>
      <w:r>
        <w:rPr>
          <w:rFonts w:ascii="Times New Roman" w:hAnsi="Times New Roman"/>
        </w:rPr>
        <w:t xml:space="preserve"> или аналогов, сильнодействующих веществ, растений (либо их частей), содержащих наркотические средства или психотропные вещества либо их </w:t>
      </w:r>
      <w:r>
        <w:rPr>
          <w:rFonts w:ascii="Times New Roman" w:hAnsi="Times New Roman"/>
        </w:rPr>
        <w:t xml:space="preserve">прекурсоры</w:t>
      </w:r>
      <w:r>
        <w:rPr>
          <w:rFonts w:ascii="Times New Roman" w:hAnsi="Times New Roman"/>
        </w:rPr>
        <w:t xml:space="preserve">, новых потенциально опасных психоактивных веществ», утвержденная приказом Судебного департамента при Верховном Суде Российской Федерации от 11 апреля 2017 года № 65.</w:t>
      </w:r>
      <w:r>
        <w:rPr>
          <w:rFonts w:ascii="Times New Roman" w:hAnsi="Times New Roman"/>
        </w:rPr>
      </w:r>
    </w:p>
  </w:footnote>
  <w:footnote w:id="43">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w:t>
      </w:r>
      <w:r>
        <w:rPr>
          <w:rFonts w:ascii="Times New Roman" w:hAnsi="Times New Roman"/>
          <w:spacing w:val="-6"/>
        </w:rPr>
        <w:t xml:space="preserve">П</w:t>
      </w:r>
      <w:r>
        <w:rPr>
          <w:rFonts w:ascii="Times New Roman" w:hAnsi="Times New Roman"/>
          <w:spacing w:val="-6"/>
          <w:highlight w:val="white"/>
        </w:rPr>
        <w:t xml:space="preserve">остановление Правительства автономного округа от 23.06.2025 № 218-п «О распр</w:t>
      </w:r>
      <w:r>
        <w:rPr>
          <w:rFonts w:ascii="Times New Roman" w:hAnsi="Times New Roman"/>
          <w:spacing w:val="-6"/>
          <w:highlight w:val="white"/>
        </w:rPr>
        <w:t xml:space="preserve">еделении между муниципальными образованиями Ханты-Мансийского автономного округа – Югры бюджетных ассигнований, предусмотренных в бюджете Ханты-Мансийского автономного округа – Югры на 2025 год и плановый период 2026 и 2027 годов, для предоставления в 2025</w:t>
      </w:r>
      <w:r>
        <w:rPr>
          <w:rFonts w:ascii="Times New Roman" w:hAnsi="Times New Roman"/>
          <w:spacing w:val="-6"/>
          <w:highlight w:val="white"/>
        </w:rPr>
        <w:t xml:space="preserve"> году иных межбюджетных трансфертов победителям конкурса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w:t>
      </w:r>
      <w:r>
        <w:rPr>
          <w:rFonts w:ascii="Times New Roman" w:hAnsi="Times New Roman"/>
        </w:rPr>
        <w:t xml:space="preserve">.</w:t>
      </w:r>
      <w:r>
        <w:rPr>
          <w:rFonts w:ascii="Times New Roman" w:hAnsi="Times New Roman"/>
        </w:rPr>
      </w:r>
    </w:p>
  </w:footnote>
  <w:footnote w:id="44">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w:t>
      </w:r>
      <w:r>
        <w:rPr>
          <w:rFonts w:ascii="Times New Roman" w:hAnsi="Times New Roman"/>
          <w:color w:val="000000" w:themeColor="text1"/>
        </w:rPr>
        <w:t xml:space="preserve">Распоряжение первого заместителя губернатора автономного округа от 09.12.2024 № 476-р</w:t>
      </w:r>
      <w:r>
        <w:rPr>
          <w:rFonts w:ascii="Times New Roman" w:hAnsi="Times New Roman"/>
        </w:rPr>
        <w:t xml:space="preserve">.</w:t>
      </w:r>
      <w:r>
        <w:rPr>
          <w:rFonts w:ascii="Times New Roman" w:hAnsi="Times New Roman"/>
        </w:rPr>
      </w:r>
    </w:p>
  </w:footnote>
  <w:footnote w:id="45">
    <w:p>
      <w:pPr>
        <w:pStyle w:val="1616"/>
        <w:jc w:val="both"/>
        <w:rPr>
          <w:rFonts w:ascii="Times New Roman" w:hAnsi="Times New Roman"/>
        </w:rPr>
      </w:pPr>
      <w:r>
        <w:rPr>
          <w:rStyle w:val="1618"/>
        </w:rPr>
        <w:footnoteRef/>
      </w:r>
      <w:r>
        <w:t xml:space="preserve"> </w:t>
      </w:r>
      <w:r>
        <w:rPr>
          <w:rFonts w:ascii="Times New Roman" w:hAnsi="Times New Roman"/>
        </w:rPr>
        <w:t xml:space="preserve">Приказ </w:t>
      </w:r>
      <w:r>
        <w:rPr>
          <w:rFonts w:ascii="Times New Roman" w:hAnsi="Times New Roman"/>
        </w:rPr>
        <w:t xml:space="preserve">Депсоцразвития</w:t>
      </w:r>
      <w:r>
        <w:rPr>
          <w:rFonts w:ascii="Times New Roman" w:hAnsi="Times New Roman"/>
        </w:rPr>
        <w:t xml:space="preserve"> Югры от 06.10.2023 № 1719-р «Об утверждении отраслевого плана мероприятий на 2023-2024 годы по профилактике наркомании ср</w:t>
      </w:r>
      <w:r>
        <w:rPr>
          <w:rFonts w:ascii="Times New Roman" w:hAnsi="Times New Roman"/>
        </w:rPr>
        <w:t xml:space="preserve">еди подростков и молодежи, формированию у них навыков здорового образа жизни, созданию благоприятных условий для самореализации подрастающего поколения и поддержке молодежных движений, занятых решением общественно значимых задач в антинаркотической сфере»;</w:t>
      </w:r>
      <w:r>
        <w:rPr>
          <w:rFonts w:ascii="Times New Roman" w:hAnsi="Times New Roman"/>
        </w:rPr>
      </w:r>
    </w:p>
    <w:p>
      <w:pPr>
        <w:pStyle w:val="1616"/>
        <w:jc w:val="both"/>
        <w:rPr>
          <w:rFonts w:ascii="Times New Roman" w:hAnsi="Times New Roman"/>
        </w:rPr>
      </w:pPr>
      <w:r>
        <w:rPr>
          <w:rFonts w:ascii="Times New Roman" w:hAnsi="Times New Roman"/>
        </w:rPr>
        <w:t xml:space="preserve">Приказ </w:t>
      </w:r>
      <w:r>
        <w:rPr>
          <w:rFonts w:ascii="Times New Roman" w:hAnsi="Times New Roman"/>
        </w:rPr>
        <w:t xml:space="preserve">Депсоцразвития</w:t>
      </w:r>
      <w:r>
        <w:rPr>
          <w:rFonts w:ascii="Times New Roman" w:hAnsi="Times New Roman"/>
        </w:rPr>
        <w:t xml:space="preserve"> Югры от 12.02.2025 № 99-р «</w:t>
      </w:r>
      <w:r>
        <w:rPr>
          <w:rFonts w:ascii="Times New Roman" w:hAnsi="Times New Roman"/>
          <w:color w:val="000000" w:themeColor="text1"/>
          <w:lang w:eastAsia="en-US"/>
        </w:rPr>
        <w:t xml:space="preserve">Об утверждении отраслевого плана мероприяти</w:t>
      </w:r>
      <w:r>
        <w:rPr>
          <w:rFonts w:ascii="Times New Roman" w:hAnsi="Times New Roman"/>
          <w:color w:val="000000" w:themeColor="text1"/>
          <w:highlight w:val="white"/>
          <w:lang w:eastAsia="en-US"/>
        </w:rPr>
        <w:t xml:space="preserve">й </w:t>
      </w:r>
      <w:r>
        <w:rPr>
          <w:rFonts w:ascii="Times New Roman" w:hAnsi="Times New Roman"/>
          <w:color w:val="000000" w:themeColor="text1"/>
          <w:highlight w:val="white"/>
          <w:lang w:eastAsia="en-US"/>
        </w:rPr>
        <w:br/>
        <w:t xml:space="preserve">по профилактике </w:t>
      </w:r>
      <w:r>
        <w:rPr>
          <w:rFonts w:ascii="Times New Roman" w:hAnsi="Times New Roman"/>
          <w:highlight w:val="white"/>
        </w:rPr>
        <w:t xml:space="preserve">потребления наркотических и психотропных веществ в немедицинских целях, спиртосодержащей продукции</w:t>
      </w:r>
      <w:r>
        <w:rPr>
          <w:rFonts w:ascii="Times New Roman" w:hAnsi="Times New Roman"/>
          <w:color w:val="000000" w:themeColor="text1"/>
          <w:highlight w:val="white"/>
          <w:lang w:eastAsia="en-US"/>
        </w:rPr>
        <w:t xml:space="preserve"> среди несовершеннолетних, </w:t>
      </w:r>
      <w:r>
        <w:rPr>
          <w:rFonts w:ascii="Times New Roman" w:hAnsi="Times New Roman"/>
          <w:highlight w:val="white"/>
        </w:rPr>
        <w:t xml:space="preserve">а также</w:t>
      </w:r>
      <w:r>
        <w:rPr>
          <w:rFonts w:ascii="Times New Roman" w:hAnsi="Times New Roman"/>
          <w:color w:val="000000" w:themeColor="text1"/>
          <w:highlight w:val="white"/>
          <w:lang w:eastAsia="en-US"/>
        </w:rPr>
        <w:t xml:space="preserve"> формированию</w:t>
      </w:r>
      <w:r>
        <w:rPr>
          <w:rFonts w:ascii="Times New Roman" w:hAnsi="Times New Roman"/>
          <w:color w:val="000000" w:themeColor="text1"/>
          <w:highlight w:val="white"/>
        </w:rPr>
        <w:t xml:space="preserve"> </w:t>
      </w:r>
      <w:r>
        <w:rPr>
          <w:rFonts w:ascii="Times New Roman" w:hAnsi="Times New Roman"/>
          <w:color w:val="000000" w:themeColor="text1"/>
          <w:highlight w:val="white"/>
          <w:lang w:eastAsia="en-US"/>
        </w:rPr>
        <w:t xml:space="preserve">у них навы</w:t>
      </w:r>
      <w:r>
        <w:rPr>
          <w:rFonts w:ascii="Times New Roman" w:hAnsi="Times New Roman"/>
          <w:color w:val="000000" w:themeColor="text1"/>
          <w:lang w:eastAsia="en-US"/>
        </w:rPr>
        <w:t xml:space="preserve">ков</w:t>
      </w:r>
      <w:r>
        <w:rPr>
          <w:rFonts w:ascii="Times New Roman" w:hAnsi="Times New Roman"/>
          <w:color w:val="000000" w:themeColor="text1"/>
          <w:lang w:eastAsia="en-US"/>
        </w:rPr>
        <w:br/>
        <w:t xml:space="preserve">здорового образа жизни</w:t>
      </w:r>
      <w:r>
        <w:rPr>
          <w:rFonts w:ascii="Times New Roman" w:hAnsi="Times New Roman"/>
        </w:rPr>
        <w:t xml:space="preserve">»</w:t>
      </w:r>
      <w:r>
        <w:rPr>
          <w:rFonts w:ascii="Times New Roman" w:hAnsi="Times New Roman"/>
        </w:rPr>
      </w:r>
    </w:p>
  </w:footnote>
  <w:footnote w:id="46">
    <w:p>
      <w:pPr>
        <w:pStyle w:val="1616"/>
        <w:jc w:val="both"/>
        <w:rPr>
          <w:rFonts w:ascii="Times New Roman" w:hAnsi="Times New Roman"/>
        </w:rPr>
      </w:pPr>
      <w:r>
        <w:rPr>
          <w:rStyle w:val="1618"/>
          <w:rFonts w:ascii="Times New Roman" w:hAnsi="Times New Roman"/>
        </w:rPr>
        <w:footnoteRef/>
      </w:r>
      <w:r>
        <w:rPr>
          <w:rFonts w:ascii="Times New Roman" w:hAnsi="Times New Roman"/>
        </w:rPr>
        <w:t xml:space="preserve"> Приказ </w:t>
      </w:r>
      <w:r>
        <w:rPr>
          <w:rFonts w:ascii="Times New Roman" w:hAnsi="Times New Roman"/>
        </w:rPr>
        <w:t xml:space="preserve">Депсоцразвития</w:t>
      </w:r>
      <w:r>
        <w:rPr>
          <w:rFonts w:ascii="Times New Roman" w:hAnsi="Times New Roman"/>
        </w:rPr>
        <w:t xml:space="preserve"> Югры от 12.05.2025 № 450-р «</w:t>
      </w:r>
      <w:r>
        <w:rPr>
          <w:rFonts w:ascii="Times New Roman" w:hAnsi="Times New Roman"/>
          <w:color w:val="000000" w:themeColor="text1"/>
          <w:lang w:eastAsia="en-US"/>
        </w:rPr>
        <w:t xml:space="preserve">Об утверждении плана мероприятий </w:t>
      </w:r>
      <w:r>
        <w:rPr>
          <w:rFonts w:ascii="Times New Roman" w:hAnsi="Times New Roman"/>
          <w:color w:val="000000" w:themeColor="text1"/>
          <w:lang w:eastAsia="en-US"/>
        </w:rPr>
        <w:br/>
        <w:t xml:space="preserve">по проведению месячника антинаркотической направленности и популяризации здорового образа жизни на территории Ханты-Мансийского автономного округа – Югры в период с 26 мая по 26 июня 2025 года</w:t>
      </w:r>
      <w:r>
        <w:rPr>
          <w:rFonts w:ascii="Times New Roman" w:hAnsi="Times New Roman"/>
        </w:rPr>
        <w:t xml:space="preserve">».</w:t>
      </w:r>
      <w:r>
        <w:rPr>
          <w:rFonts w:ascii="Times New Roman" w:hAnsi="Times New Roman"/>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jc w:val="center"/>
    </w:pPr>
    <w:fldSimple w:instr="PAGE \* MERGEFORMAT">
      <w:r>
        <w:t xml:space="preserve">1</w:t>
      </w:r>
    </w:fldSimple>
  </w:p>
  <w:p>
    <w:pPr>
      <w:pStyle w:val="163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jc w:val="center"/>
    </w:pPr>
    <w:fldSimple w:instr="PAGE \* MERGEFORMAT">
      <w:r>
        <w:t xml:space="preserve">1</w:t>
      </w:r>
    </w:fldSimple>
  </w:p>
  <w:p>
    <w:pPr>
      <w:pStyle w:val="16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jc w:val="center"/>
    </w:pPr>
    <w:r>
      <w:fldChar w:fldCharType="begin"/>
    </w:r>
    <w:r>
      <w:instrText xml:space="preserve">PAGE \* MERGEFORMAT</w:instrText>
    </w:r>
    <w:r>
      <w:fldChar w:fldCharType="separate"/>
    </w:r>
    <w:r>
      <w:t xml:space="preserve">186</w:t>
    </w:r>
    <w:r>
      <w:fldChar w:fldCharType="end"/>
    </w:r>
  </w:p>
  <w:p>
    <w:pPr>
      <w:pStyle w:val="163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jc w:val="center"/>
    </w:pPr>
    <w:r>
      <w:fldChar w:fldCharType="begin"/>
    </w:r>
    <w:r>
      <w:instrText xml:space="preserve">PAGE \* MERGEFORMAT</w:instrText>
    </w:r>
    <w:r>
      <w:fldChar w:fldCharType="separate"/>
    </w:r>
    <w:r>
      <w:t xml:space="preserve">196</w:t>
    </w:r>
    <w:r>
      <w:fldChar w:fldCharType="end"/>
    </w:r>
  </w:p>
  <w:p>
    <w:pPr>
      <w:pStyle w:val="163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1417" w:hanging="360"/>
      </w:pPr>
    </w:lvl>
    <w:lvl w:ilvl="1">
      <w:start w:val="1"/>
      <w:numFmt w:val="lowerLetter"/>
      <w:isLgl w:val="false"/>
      <w:suff w:val="tab"/>
      <w:lvlText w:val="%2."/>
      <w:lvlJc w:val="left"/>
      <w:pPr>
        <w:ind w:left="2137" w:hanging="360"/>
      </w:pPr>
    </w:lvl>
    <w:lvl w:ilvl="2">
      <w:start w:val="1"/>
      <w:numFmt w:val="lowerRoman"/>
      <w:isLgl w:val="false"/>
      <w:suff w:val="tab"/>
      <w:lvlText w:val="%3."/>
      <w:lvlJc w:val="right"/>
      <w:pPr>
        <w:ind w:left="2857" w:hanging="180"/>
      </w:pPr>
    </w:lvl>
    <w:lvl w:ilvl="3">
      <w:start w:val="1"/>
      <w:numFmt w:val="decimal"/>
      <w:isLgl w:val="false"/>
      <w:suff w:val="tab"/>
      <w:lvlText w:val="%4."/>
      <w:lvlJc w:val="left"/>
      <w:pPr>
        <w:ind w:left="3577" w:hanging="360"/>
      </w:pPr>
    </w:lvl>
    <w:lvl w:ilvl="4">
      <w:start w:val="1"/>
      <w:numFmt w:val="lowerLetter"/>
      <w:isLgl w:val="false"/>
      <w:suff w:val="tab"/>
      <w:lvlText w:val="%5."/>
      <w:lvlJc w:val="left"/>
      <w:pPr>
        <w:ind w:left="4297" w:hanging="360"/>
      </w:pPr>
    </w:lvl>
    <w:lvl w:ilvl="5">
      <w:start w:val="1"/>
      <w:numFmt w:val="lowerRoman"/>
      <w:isLgl w:val="false"/>
      <w:suff w:val="tab"/>
      <w:lvlText w:val="%6."/>
      <w:lvlJc w:val="right"/>
      <w:pPr>
        <w:ind w:left="5017" w:hanging="180"/>
      </w:pPr>
    </w:lvl>
    <w:lvl w:ilvl="6">
      <w:start w:val="1"/>
      <w:numFmt w:val="decimal"/>
      <w:isLgl w:val="false"/>
      <w:suff w:val="tab"/>
      <w:lvlText w:val="%7."/>
      <w:lvlJc w:val="left"/>
      <w:pPr>
        <w:ind w:left="5737" w:hanging="360"/>
      </w:pPr>
    </w:lvl>
    <w:lvl w:ilvl="7">
      <w:start w:val="1"/>
      <w:numFmt w:val="lowerLetter"/>
      <w:isLgl w:val="false"/>
      <w:suff w:val="tab"/>
      <w:lvlText w:val="%8."/>
      <w:lvlJc w:val="left"/>
      <w:pPr>
        <w:ind w:left="6457" w:hanging="360"/>
      </w:pPr>
    </w:lvl>
    <w:lvl w:ilvl="8">
      <w:start w:val="1"/>
      <w:numFmt w:val="lowerRoman"/>
      <w:isLgl w:val="false"/>
      <w:suff w:val="tab"/>
      <w:lvlText w:val="%9."/>
      <w:lvlJc w:val="right"/>
      <w:pPr>
        <w:ind w:left="7177" w:hanging="180"/>
      </w:pPr>
    </w:lvl>
  </w:abstractNum>
  <w:abstractNum w:abstractNumId="3">
    <w:multiLevelType w:val="hybridMultilevel"/>
    <w:lvl w:ilvl="0">
      <w:start w:val="1"/>
      <w:numFmt w:val="bullet"/>
      <w:isLgl w:val="false"/>
      <w:suff w:val="tab"/>
      <w:lvlText w:val=""/>
      <w:lvlJc w:val="left"/>
      <w:pPr>
        <w:ind w:left="1429" w:hanging="360"/>
      </w:pPr>
      <w:rPr>
        <w:rFonts w:hint="default" w:ascii="Symbol" w:hAnsi="Symbol"/>
        <w:color w:val="auto"/>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1440" w:hanging="360"/>
      </w:pPr>
      <w:rPr>
        <w:rFonts w:hint="default" w:ascii="Symbol" w:hAnsi="Symbol"/>
        <w:color w:val="auto"/>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6">
    <w:multiLevelType w:val="hybridMultilevel"/>
    <w:lvl w:ilvl="0">
      <w:start w:val="1"/>
      <w:numFmt w:val="bullet"/>
      <w:isLgl w:val="false"/>
      <w:suff w:val="tab"/>
      <w:lvlText w:val="-"/>
      <w:lvlJc w:val="left"/>
      <w:pPr>
        <w:ind w:left="1429" w:hanging="360"/>
      </w:pPr>
      <w:rPr>
        <w:rFonts w:hint="default" w:ascii="Times New Roman" w:hAnsi="Times New Roman" w:cs="Times New Roman"/>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09" w:hanging="360"/>
      </w:pPr>
      <w:rPr>
        <w:rFonts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9">
    <w:multiLevelType w:val="hybridMultilevel"/>
    <w:lvl w:ilvl="0">
      <w:start w:val="1"/>
      <w:numFmt w:val="decimal"/>
      <w:isLgl w:val="false"/>
      <w:suff w:val="tab"/>
      <w:lvlText w:val="%1."/>
      <w:lvlJc w:val="left"/>
      <w:pPr>
        <w:tabs>
          <w:tab w:val="num" w:pos="720" w:leader="none"/>
        </w:tabs>
        <w:ind w:left="720" w:hanging="360"/>
      </w:pPr>
    </w:lvl>
    <w:lvl w:ilvl="1">
      <w:start w:val="1"/>
      <w:numFmt w:val="decimal"/>
      <w:isLgl w:val="false"/>
      <w:suff w:val="tab"/>
      <w:lvlText w:val="%2."/>
      <w:lvlJc w:val="left"/>
      <w:pPr>
        <w:tabs>
          <w:tab w:val="num" w:pos="1440" w:leader="none"/>
        </w:tabs>
        <w:ind w:left="1440" w:hanging="360"/>
      </w:pPr>
    </w:lvl>
    <w:lvl w:ilvl="2">
      <w:start w:val="1"/>
      <w:numFmt w:val="decimal"/>
      <w:isLgl w:val="false"/>
      <w:suff w:val="tab"/>
      <w:lvlText w:val="%3."/>
      <w:lvlJc w:val="left"/>
      <w:pPr>
        <w:tabs>
          <w:tab w:val="num" w:pos="2160" w:leader="none"/>
        </w:tabs>
        <w:ind w:left="2160" w:hanging="360"/>
      </w:pPr>
    </w:lvl>
    <w:lvl w:ilvl="3">
      <w:start w:val="1"/>
      <w:numFmt w:val="decimal"/>
      <w:isLgl w:val="false"/>
      <w:suff w:val="tab"/>
      <w:lvlText w:val="%4."/>
      <w:lvlJc w:val="left"/>
      <w:pPr>
        <w:tabs>
          <w:tab w:val="num" w:pos="2880" w:leader="none"/>
        </w:tabs>
        <w:ind w:left="2880" w:hanging="360"/>
      </w:pPr>
    </w:lvl>
    <w:lvl w:ilvl="4">
      <w:start w:val="1"/>
      <w:numFmt w:val="decimal"/>
      <w:isLgl w:val="false"/>
      <w:suff w:val="tab"/>
      <w:lvlText w:val="%5."/>
      <w:lvlJc w:val="left"/>
      <w:pPr>
        <w:tabs>
          <w:tab w:val="num" w:pos="3600" w:leader="none"/>
        </w:tabs>
        <w:ind w:left="3600" w:hanging="360"/>
      </w:pPr>
    </w:lvl>
    <w:lvl w:ilvl="5">
      <w:start w:val="1"/>
      <w:numFmt w:val="decimal"/>
      <w:isLgl w:val="false"/>
      <w:suff w:val="tab"/>
      <w:lvlText w:val="%6."/>
      <w:lvlJc w:val="left"/>
      <w:pPr>
        <w:tabs>
          <w:tab w:val="num" w:pos="4320" w:leader="none"/>
        </w:tabs>
        <w:ind w:left="4320" w:hanging="360"/>
      </w:pPr>
    </w:lvl>
    <w:lvl w:ilvl="6">
      <w:start w:val="1"/>
      <w:numFmt w:val="decimal"/>
      <w:isLgl w:val="false"/>
      <w:suff w:val="tab"/>
      <w:lvlText w:val="%7."/>
      <w:lvlJc w:val="left"/>
      <w:pPr>
        <w:tabs>
          <w:tab w:val="num" w:pos="5040" w:leader="none"/>
        </w:tabs>
        <w:ind w:left="5040" w:hanging="360"/>
      </w:pPr>
    </w:lvl>
    <w:lvl w:ilvl="7">
      <w:start w:val="1"/>
      <w:numFmt w:val="decimal"/>
      <w:isLgl w:val="false"/>
      <w:suff w:val="tab"/>
      <w:lvlText w:val="%8."/>
      <w:lvlJc w:val="left"/>
      <w:pPr>
        <w:tabs>
          <w:tab w:val="num" w:pos="5760" w:leader="none"/>
        </w:tabs>
        <w:ind w:left="5760" w:hanging="360"/>
      </w:pPr>
    </w:lvl>
    <w:lvl w:ilvl="8">
      <w:start w:val="1"/>
      <w:numFmt w:val="decimal"/>
      <w:isLgl w:val="false"/>
      <w:suff w:val="tab"/>
      <w:lvlText w:val="%9."/>
      <w:lvlJc w:val="left"/>
      <w:pPr>
        <w:tabs>
          <w:tab w:val="num" w:pos="6480" w:leader="none"/>
        </w:tabs>
        <w:ind w:left="6480" w:hanging="360"/>
      </w:pPr>
    </w:lvl>
  </w:abstractNum>
  <w:abstractNum w:abstractNumId="10">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1084" w:hanging="375"/>
      </w:pPr>
      <w:rPr>
        <w:rFonts w:hint="default" w:ascii="Times New Roman" w:hAnsi="Times New Roman" w:eastAsia="Times New Roman" w:cs="Times New Roman"/>
        <w:color w:val="000000"/>
      </w:rPr>
    </w:lvl>
    <w:lvl w:ilvl="1">
      <w:start w:val="1"/>
      <w:numFmt w:val="bullet"/>
      <w:isLgl w:val="false"/>
      <w:suff w:val="tab"/>
      <w:lvlText w:val="o"/>
      <w:lvlJc w:val="left"/>
      <w:pPr>
        <w:ind w:left="1789" w:hanging="360"/>
      </w:pPr>
      <w:rPr>
        <w:rFonts w:hint="default" w:ascii="Courier New" w:hAnsi="Courier New" w:cs="Courier New"/>
      </w:rPr>
    </w:lvl>
    <w:lvl w:ilvl="2">
      <w:start w:val="1"/>
      <w:numFmt w:val="bullet"/>
      <w:isLgl w:val="false"/>
      <w:suff w:val="tab"/>
      <w:lvlText w:val=""/>
      <w:lvlJc w:val="left"/>
      <w:pPr>
        <w:ind w:left="2509" w:hanging="360"/>
      </w:pPr>
      <w:rPr>
        <w:rFonts w:hint="default" w:ascii="Wingdings" w:hAnsi="Wingdings"/>
      </w:rPr>
    </w:lvl>
    <w:lvl w:ilvl="3">
      <w:start w:val="1"/>
      <w:numFmt w:val="bullet"/>
      <w:isLgl w:val="false"/>
      <w:suff w:val="tab"/>
      <w:lvlText w:val=""/>
      <w:lvlJc w:val="left"/>
      <w:pPr>
        <w:ind w:left="3229" w:hanging="360"/>
      </w:pPr>
      <w:rPr>
        <w:rFonts w:hint="default" w:ascii="Symbol" w:hAnsi="Symbol"/>
      </w:rPr>
    </w:lvl>
    <w:lvl w:ilvl="4">
      <w:start w:val="1"/>
      <w:numFmt w:val="bullet"/>
      <w:isLgl w:val="false"/>
      <w:suff w:val="tab"/>
      <w:lvlText w:val="o"/>
      <w:lvlJc w:val="left"/>
      <w:pPr>
        <w:ind w:left="3949" w:hanging="360"/>
      </w:pPr>
      <w:rPr>
        <w:rFonts w:hint="default" w:ascii="Courier New" w:hAnsi="Courier New" w:cs="Courier New"/>
      </w:rPr>
    </w:lvl>
    <w:lvl w:ilvl="5">
      <w:start w:val="1"/>
      <w:numFmt w:val="bullet"/>
      <w:isLgl w:val="false"/>
      <w:suff w:val="tab"/>
      <w:lvlText w:val=""/>
      <w:lvlJc w:val="left"/>
      <w:pPr>
        <w:ind w:left="4669" w:hanging="360"/>
      </w:pPr>
      <w:rPr>
        <w:rFonts w:hint="default" w:ascii="Wingdings" w:hAnsi="Wingdings"/>
      </w:rPr>
    </w:lvl>
    <w:lvl w:ilvl="6">
      <w:start w:val="1"/>
      <w:numFmt w:val="bullet"/>
      <w:isLgl w:val="false"/>
      <w:suff w:val="tab"/>
      <w:lvlText w:val=""/>
      <w:lvlJc w:val="left"/>
      <w:pPr>
        <w:ind w:left="5389" w:hanging="360"/>
      </w:pPr>
      <w:rPr>
        <w:rFonts w:hint="default" w:ascii="Symbol" w:hAnsi="Symbol"/>
      </w:rPr>
    </w:lvl>
    <w:lvl w:ilvl="7">
      <w:start w:val="1"/>
      <w:numFmt w:val="bullet"/>
      <w:isLgl w:val="false"/>
      <w:suff w:val="tab"/>
      <w:lvlText w:val="o"/>
      <w:lvlJc w:val="left"/>
      <w:pPr>
        <w:ind w:left="6109" w:hanging="360"/>
      </w:pPr>
      <w:rPr>
        <w:rFonts w:hint="default" w:ascii="Courier New" w:hAnsi="Courier New" w:cs="Courier New"/>
      </w:rPr>
    </w:lvl>
    <w:lvl w:ilvl="8">
      <w:start w:val="1"/>
      <w:numFmt w:val="bullet"/>
      <w:isLgl w:val="false"/>
      <w:suff w:val="tab"/>
      <w:lvlText w:val=""/>
      <w:lvlJc w:val="left"/>
      <w:pPr>
        <w:ind w:left="6829" w:hanging="360"/>
      </w:pPr>
      <w:rPr>
        <w:rFonts w:hint="default" w:ascii="Wingdings" w:hAnsi="Wingdings"/>
      </w:rPr>
    </w:lvl>
  </w:abstractNum>
  <w:abstractNum w:abstractNumId="15">
    <w:multiLevelType w:val="hybridMultilevel"/>
    <w:lvl w:ilvl="0">
      <w:start w:val="1"/>
      <w:numFmt w:val="none"/>
      <w:pStyle w:val="1659"/>
      <w:isLgl w:val="false"/>
      <w:suff w:val="nothing"/>
      <w:lvlText w:val=""/>
      <w:lvlJc w:val="left"/>
      <w:pPr>
        <w:ind w:left="432" w:hanging="432"/>
      </w:pPr>
      <w:rPr>
        <w:rFonts w:cs="Times New Roman"/>
      </w:rPr>
    </w:lvl>
    <w:lvl w:ilvl="1">
      <w:start w:val="1"/>
      <w:numFmt w:val="none"/>
      <w:pStyle w:val="1660"/>
      <w:isLgl w:val="false"/>
      <w:suff w:val="nothing"/>
      <w:lvlText w:val=""/>
      <w:lvlJc w:val="left"/>
      <w:pPr>
        <w:ind w:left="576" w:hanging="576"/>
      </w:pPr>
      <w:rPr>
        <w:rFonts w:cs="Times New Roman"/>
      </w:rPr>
    </w:lvl>
    <w:lvl w:ilvl="2">
      <w:start w:val="1"/>
      <w:numFmt w:val="none"/>
      <w:pStyle w:val="1661"/>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6">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num w:numId="1">
    <w:abstractNumId w:val="15"/>
  </w:num>
  <w:num w:numId="2">
    <w:abstractNumId w:val="0"/>
  </w:num>
  <w:num w:numId="3">
    <w:abstractNumId w:val="5"/>
  </w:num>
  <w:num w:numId="4">
    <w:abstractNumId w:val="9"/>
  </w:num>
  <w:num w:numId="5">
    <w:abstractNumId w:val="13"/>
  </w:num>
  <w:num w:numId="6">
    <w:abstractNumId w:val="3"/>
  </w:num>
  <w:num w:numId="7">
    <w:abstractNumId w:val="10"/>
  </w:num>
  <w:num w:numId="8">
    <w:abstractNumId w:val="16"/>
  </w:num>
  <w:num w:numId="9">
    <w:abstractNumId w:val="12"/>
  </w:num>
  <w:num w:numId="10">
    <w:abstractNumId w:val="4"/>
  </w:num>
  <w:num w:numId="11">
    <w:abstractNumId w:val="7"/>
  </w:num>
  <w:num w:numId="12">
    <w:abstractNumId w:val="11"/>
  </w:num>
  <w:num w:numId="13">
    <w:abstractNumId w:val="8"/>
  </w:num>
  <w:num w:numId="14">
    <w:abstractNumId w:val="2"/>
  </w:num>
  <w:num w:numId="15">
    <w:abstractNumId w:val="1"/>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410" w:default="1">
    <w:name w:val="Normal"/>
    <w:qFormat/>
    <w:pPr>
      <w:spacing w:after="0" w:line="288" w:lineRule="auto"/>
      <w:ind w:firstLine="567"/>
      <w:jc w:val="both"/>
    </w:pPr>
    <w:rPr>
      <w:rFonts w:ascii="Times New Roman" w:hAnsi="Times New Roman" w:eastAsia="Times New Roman" w:cs="Times New Roman"/>
      <w:sz w:val="28"/>
      <w:szCs w:val="28"/>
      <w:lang w:eastAsia="ru-RU"/>
    </w:rPr>
  </w:style>
  <w:style w:type="paragraph" w:styleId="1411">
    <w:name w:val="Heading 1"/>
    <w:basedOn w:val="1410"/>
    <w:next w:val="1410"/>
    <w:link w:val="1613"/>
    <w:uiPriority w:val="99"/>
    <w:qFormat/>
    <w:pPr>
      <w:spacing w:before="480" w:line="276" w:lineRule="auto"/>
      <w:ind w:firstLine="0"/>
      <w:contextualSpacing/>
      <w:jc w:val="left"/>
      <w:outlineLvl w:val="0"/>
    </w:pPr>
    <w:rPr>
      <w:rFonts w:ascii="Cambria" w:hAnsi="Cambria"/>
      <w:b/>
      <w:bCs/>
    </w:rPr>
  </w:style>
  <w:style w:type="paragraph" w:styleId="1412">
    <w:name w:val="Heading 2"/>
    <w:basedOn w:val="1410"/>
    <w:next w:val="1410"/>
    <w:link w:val="1455"/>
    <w:uiPriority w:val="9"/>
    <w:unhideWhenUsed/>
    <w:qFormat/>
    <w:pPr>
      <w:keepNext/>
      <w:keepLines/>
      <w:spacing w:before="360" w:after="200"/>
      <w:outlineLvl w:val="1"/>
    </w:pPr>
    <w:rPr>
      <w:rFonts w:ascii="Arial" w:hAnsi="Arial" w:eastAsia="Arial" w:cs="Arial"/>
      <w:sz w:val="34"/>
    </w:rPr>
  </w:style>
  <w:style w:type="paragraph" w:styleId="1413">
    <w:name w:val="Heading 3"/>
    <w:basedOn w:val="1410"/>
    <w:next w:val="1410"/>
    <w:link w:val="1456"/>
    <w:uiPriority w:val="9"/>
    <w:unhideWhenUsed/>
    <w:qFormat/>
    <w:pPr>
      <w:keepNext/>
      <w:keepLines/>
      <w:spacing w:before="320" w:after="200"/>
      <w:outlineLvl w:val="2"/>
    </w:pPr>
    <w:rPr>
      <w:rFonts w:ascii="Arial" w:hAnsi="Arial" w:eastAsia="Arial" w:cs="Arial"/>
      <w:sz w:val="30"/>
      <w:szCs w:val="30"/>
    </w:rPr>
  </w:style>
  <w:style w:type="paragraph" w:styleId="1414">
    <w:name w:val="Heading 4"/>
    <w:basedOn w:val="1410"/>
    <w:next w:val="1410"/>
    <w:link w:val="1714"/>
    <w:uiPriority w:val="9"/>
    <w:semiHidden/>
    <w:unhideWhenUsed/>
    <w:qFormat/>
    <w:pPr>
      <w:keepNext/>
      <w:keepLines/>
      <w:spacing w:before="200"/>
      <w:outlineLvl w:val="3"/>
    </w:pPr>
    <w:rPr>
      <w:rFonts w:asciiTheme="majorHAnsi" w:hAnsiTheme="majorHAnsi" w:eastAsiaTheme="majorEastAsia" w:cstheme="majorBidi"/>
      <w:b/>
      <w:bCs/>
      <w:i/>
      <w:iCs/>
      <w:color w:val="5b9bd5" w:themeColor="accent1"/>
    </w:rPr>
  </w:style>
  <w:style w:type="paragraph" w:styleId="1415">
    <w:name w:val="Heading 5"/>
    <w:basedOn w:val="1410"/>
    <w:next w:val="1410"/>
    <w:link w:val="1458"/>
    <w:uiPriority w:val="9"/>
    <w:unhideWhenUsed/>
    <w:qFormat/>
    <w:pPr>
      <w:keepNext/>
      <w:keepLines/>
      <w:spacing w:before="320" w:after="200"/>
      <w:outlineLvl w:val="4"/>
    </w:pPr>
    <w:rPr>
      <w:rFonts w:ascii="Arial" w:hAnsi="Arial" w:eastAsia="Arial" w:cs="Arial"/>
      <w:b/>
      <w:bCs/>
      <w:sz w:val="24"/>
      <w:szCs w:val="24"/>
    </w:rPr>
  </w:style>
  <w:style w:type="paragraph" w:styleId="1416">
    <w:name w:val="Heading 6"/>
    <w:basedOn w:val="1410"/>
    <w:next w:val="1410"/>
    <w:link w:val="1459"/>
    <w:uiPriority w:val="9"/>
    <w:unhideWhenUsed/>
    <w:qFormat/>
    <w:pPr>
      <w:keepNext/>
      <w:keepLines/>
      <w:spacing w:before="320" w:after="200"/>
      <w:outlineLvl w:val="5"/>
    </w:pPr>
    <w:rPr>
      <w:rFonts w:ascii="Arial" w:hAnsi="Arial" w:eastAsia="Arial" w:cs="Arial"/>
      <w:b/>
      <w:bCs/>
      <w:sz w:val="22"/>
      <w:szCs w:val="22"/>
    </w:rPr>
  </w:style>
  <w:style w:type="paragraph" w:styleId="1417">
    <w:name w:val="Heading 7"/>
    <w:basedOn w:val="1410"/>
    <w:next w:val="1410"/>
    <w:link w:val="1460"/>
    <w:uiPriority w:val="9"/>
    <w:unhideWhenUsed/>
    <w:qFormat/>
    <w:pPr>
      <w:keepNext/>
      <w:keepLines/>
      <w:spacing w:before="320" w:after="200"/>
      <w:outlineLvl w:val="6"/>
    </w:pPr>
    <w:rPr>
      <w:rFonts w:ascii="Arial" w:hAnsi="Arial" w:eastAsia="Arial" w:cs="Arial"/>
      <w:b/>
      <w:bCs/>
      <w:i/>
      <w:iCs/>
      <w:sz w:val="22"/>
      <w:szCs w:val="22"/>
    </w:rPr>
  </w:style>
  <w:style w:type="paragraph" w:styleId="1418">
    <w:name w:val="Heading 8"/>
    <w:basedOn w:val="1410"/>
    <w:next w:val="1410"/>
    <w:link w:val="1461"/>
    <w:uiPriority w:val="9"/>
    <w:unhideWhenUsed/>
    <w:qFormat/>
    <w:pPr>
      <w:keepNext/>
      <w:keepLines/>
      <w:spacing w:before="320" w:after="200"/>
      <w:outlineLvl w:val="7"/>
    </w:pPr>
    <w:rPr>
      <w:rFonts w:ascii="Arial" w:hAnsi="Arial" w:eastAsia="Arial" w:cs="Arial"/>
      <w:i/>
      <w:iCs/>
      <w:sz w:val="22"/>
      <w:szCs w:val="22"/>
    </w:rPr>
  </w:style>
  <w:style w:type="paragraph" w:styleId="1419">
    <w:name w:val="Heading 9"/>
    <w:basedOn w:val="1410"/>
    <w:next w:val="1410"/>
    <w:link w:val="1462"/>
    <w:uiPriority w:val="9"/>
    <w:unhideWhenUsed/>
    <w:qFormat/>
    <w:pPr>
      <w:keepNext/>
      <w:keepLines/>
      <w:spacing w:before="320" w:after="200"/>
      <w:outlineLvl w:val="8"/>
    </w:pPr>
    <w:rPr>
      <w:rFonts w:ascii="Arial" w:hAnsi="Arial" w:eastAsia="Arial" w:cs="Arial"/>
      <w:i/>
      <w:iCs/>
      <w:sz w:val="21"/>
      <w:szCs w:val="21"/>
    </w:rPr>
  </w:style>
  <w:style w:type="character" w:styleId="1420" w:default="1">
    <w:name w:val="Default Paragraph Font"/>
    <w:uiPriority w:val="1"/>
    <w:semiHidden/>
    <w:unhideWhenUsed/>
  </w:style>
  <w:style w:type="table" w:styleId="1421" w:default="1">
    <w:name w:val="Normal Table"/>
    <w:uiPriority w:val="99"/>
    <w:semiHidden/>
    <w:unhideWhenUsed/>
    <w:tblPr>
      <w:tblInd w:w="0" w:type="dxa"/>
      <w:tblCellMar>
        <w:left w:w="108" w:type="dxa"/>
        <w:top w:w="0" w:type="dxa"/>
        <w:right w:w="108" w:type="dxa"/>
        <w:bottom w:w="0" w:type="dxa"/>
      </w:tblCellMar>
    </w:tblPr>
  </w:style>
  <w:style w:type="numbering" w:styleId="1422" w:default="1">
    <w:name w:val="No List"/>
    <w:uiPriority w:val="99"/>
    <w:semiHidden/>
    <w:unhideWhenUsed/>
  </w:style>
  <w:style w:type="character" w:styleId="1423" w:customStyle="1">
    <w:name w:val="Caption Char"/>
    <w:basedOn w:val="1420"/>
    <w:uiPriority w:val="35"/>
    <w:rPr>
      <w:b/>
      <w:bCs/>
      <w:color w:val="5b9bd5" w:themeColor="accent1"/>
      <w:sz w:val="18"/>
      <w:szCs w:val="18"/>
    </w:rPr>
  </w:style>
  <w:style w:type="character" w:styleId="1424" w:customStyle="1">
    <w:name w:val="Heading 2 Char"/>
    <w:basedOn w:val="1420"/>
    <w:uiPriority w:val="9"/>
    <w:rPr>
      <w:rFonts w:ascii="Liberation Sans" w:hAnsi="Liberation Sans" w:eastAsia="Liberation Sans" w:cs="Liberation Sans"/>
      <w:sz w:val="34"/>
    </w:rPr>
  </w:style>
  <w:style w:type="character" w:styleId="1425" w:customStyle="1">
    <w:name w:val="Heading 3 Char"/>
    <w:basedOn w:val="1420"/>
    <w:uiPriority w:val="9"/>
    <w:rPr>
      <w:rFonts w:ascii="Liberation Sans" w:hAnsi="Liberation Sans" w:eastAsia="Liberation Sans" w:cs="Liberation Sans"/>
      <w:sz w:val="30"/>
      <w:szCs w:val="30"/>
    </w:rPr>
  </w:style>
  <w:style w:type="character" w:styleId="1426" w:customStyle="1">
    <w:name w:val="Heading 5 Char"/>
    <w:basedOn w:val="1420"/>
    <w:uiPriority w:val="9"/>
    <w:rPr>
      <w:rFonts w:ascii="Liberation Sans" w:hAnsi="Liberation Sans" w:eastAsia="Liberation Sans" w:cs="Liberation Sans"/>
      <w:b/>
      <w:bCs/>
      <w:sz w:val="24"/>
      <w:szCs w:val="24"/>
    </w:rPr>
  </w:style>
  <w:style w:type="character" w:styleId="1427" w:customStyle="1">
    <w:name w:val="Heading 6 Char"/>
    <w:basedOn w:val="1420"/>
    <w:uiPriority w:val="9"/>
    <w:rPr>
      <w:rFonts w:ascii="Liberation Sans" w:hAnsi="Liberation Sans" w:eastAsia="Liberation Sans" w:cs="Liberation Sans"/>
      <w:b/>
      <w:bCs/>
      <w:sz w:val="22"/>
      <w:szCs w:val="22"/>
    </w:rPr>
  </w:style>
  <w:style w:type="character" w:styleId="1428" w:customStyle="1">
    <w:name w:val="Heading 7 Char"/>
    <w:basedOn w:val="1420"/>
    <w:uiPriority w:val="9"/>
    <w:rPr>
      <w:rFonts w:ascii="Liberation Sans" w:hAnsi="Liberation Sans" w:eastAsia="Liberation Sans" w:cs="Liberation Sans"/>
      <w:b/>
      <w:bCs/>
      <w:i/>
      <w:iCs/>
      <w:sz w:val="22"/>
      <w:szCs w:val="22"/>
    </w:rPr>
  </w:style>
  <w:style w:type="character" w:styleId="1429" w:customStyle="1">
    <w:name w:val="Heading 8 Char"/>
    <w:basedOn w:val="1420"/>
    <w:uiPriority w:val="9"/>
    <w:rPr>
      <w:rFonts w:ascii="Liberation Sans" w:hAnsi="Liberation Sans" w:eastAsia="Liberation Sans" w:cs="Liberation Sans"/>
      <w:i/>
      <w:iCs/>
      <w:sz w:val="22"/>
      <w:szCs w:val="22"/>
    </w:rPr>
  </w:style>
  <w:style w:type="character" w:styleId="1430" w:customStyle="1">
    <w:name w:val="Heading 9 Char"/>
    <w:basedOn w:val="1420"/>
    <w:uiPriority w:val="9"/>
    <w:rPr>
      <w:rFonts w:ascii="Liberation Sans" w:hAnsi="Liberation Sans" w:eastAsia="Liberation Sans" w:cs="Liberation Sans"/>
      <w:i/>
      <w:iCs/>
      <w:sz w:val="21"/>
      <w:szCs w:val="21"/>
    </w:rPr>
  </w:style>
  <w:style w:type="character" w:styleId="1431" w:customStyle="1">
    <w:name w:val="Title Char"/>
    <w:basedOn w:val="1420"/>
    <w:uiPriority w:val="10"/>
    <w:rPr>
      <w:sz w:val="48"/>
      <w:szCs w:val="48"/>
    </w:rPr>
  </w:style>
  <w:style w:type="character" w:styleId="1432" w:customStyle="1">
    <w:name w:val="Subtitle Char"/>
    <w:basedOn w:val="1420"/>
    <w:uiPriority w:val="11"/>
    <w:rPr>
      <w:sz w:val="24"/>
      <w:szCs w:val="24"/>
    </w:rPr>
  </w:style>
  <w:style w:type="character" w:styleId="1433" w:customStyle="1">
    <w:name w:val="Quote Char"/>
    <w:uiPriority w:val="29"/>
    <w:rPr>
      <w:i/>
    </w:rPr>
  </w:style>
  <w:style w:type="character" w:styleId="1434" w:customStyle="1">
    <w:name w:val="Intense Quote Char"/>
    <w:uiPriority w:val="30"/>
    <w:rPr>
      <w:i/>
    </w:rPr>
  </w:style>
  <w:style w:type="table" w:styleId="1435">
    <w:name w:val="Plain Table 1"/>
    <w:basedOn w:val="142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Liberation Sans" w:hAnsi="Liberation Sans"/>
        <w:b/>
        <w:color w:val="404040"/>
        <w:sz w:val="22"/>
      </w:rPr>
    </w:tblStylePr>
    <w:tblStylePr w:type="firstRow">
      <w:rPr>
        <w:rFonts w:ascii="Liberation Sans" w:hAnsi="Liberation Sans"/>
        <w:b/>
        <w:color w:val="404040"/>
        <w:sz w:val="22"/>
      </w:r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1436">
    <w:name w:val="Plain Table 2"/>
    <w:basedOn w:val="142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sz="4" w:space="0"/>
          <w:bottom w:val="single" w:color="000000" w:themeColor="text1"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1437">
    <w:name w:val="Plain Table 3"/>
    <w:basedOn w:val="1421"/>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438">
    <w:name w:val="Plain Table 4"/>
    <w:basedOn w:val="1421"/>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439">
    <w:name w:val="Plain Table 5"/>
    <w:basedOn w:val="1421"/>
    <w:uiPriority w:val="99"/>
    <w:pPr>
      <w:spacing w:after="0" w:line="240" w:lineRule="auto"/>
    </w:pPr>
    <w:tblPr>
      <w:tblStyleRowBandSize w:val="1"/>
      <w:tblStyleColBandSize w:val="1"/>
    </w:tblPr>
    <w:tblStylePr w:type="band1Horz">
      <w:rPr>
        <w:rFonts w:ascii="Liberation Sans" w:hAnsi="Liberation Sans"/>
        <w:color w:val="404040"/>
        <w:sz w:val="22"/>
      </w:rPr>
      <w:tcPr>
        <w:shd w:val="clear" w:color="f2f2f2" w:themeColor="text1" w:themeTint="0D" w:fill="f2f2f2" w:themeFill="text1" w:themeFillTint="0D"/>
      </w:tcPr>
    </w:tblStylePr>
    <w:tblStylePr w:type="band1Vert">
      <w:rPr>
        <w:rFonts w:ascii="Liberation Sans" w:hAnsi="Liberation Sans"/>
        <w:color w:val="404040"/>
        <w:sz w:val="22"/>
      </w:rPr>
      <w:tcPr>
        <w:shd w:val="clear" w:color="f2f2f2" w:themeColor="text1" w:themeTint="0D" w:fill="f2f2f2" w:themeFill="text1" w:themeFillTint="0D"/>
      </w:tcPr>
    </w:tblStylePr>
    <w:tblStylePr w:type="firstCol">
      <w:rPr>
        <w:i/>
        <w:color w:val="404040"/>
      </w:rPr>
      <w:pPr>
        <w:jc w:val="right"/>
      </w:pPr>
      <w:tcPr>
        <w:tcBorders>
          <w:right w:val="single" w:color="404040" w:sz="4" w:space="0"/>
        </w:tcBorders>
        <w:shd w:val="clear" w:color="ffffff" w:fill="auto"/>
      </w:tcPr>
    </w:tblStyle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style>
  <w:style w:type="table" w:styleId="1440">
    <w:name w:val="Grid Table 1 Light"/>
    <w:basedOn w:val="1421"/>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Liberation Sans" w:hAnsi="Liberation Sans"/>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441">
    <w:name w:val="Grid Table 2"/>
    <w:basedOn w:val="142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style>
  <w:style w:type="table" w:styleId="1442">
    <w:name w:val="Grid Table 3"/>
    <w:basedOn w:val="142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43">
    <w:name w:val="Grid Table 4"/>
    <w:basedOn w:val="1421"/>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Liberation Sans" w:hAnsi="Liberation Sans"/>
        <w:color w:val="404040"/>
        <w:sz w:val="22"/>
      </w:rPr>
      <w:tcPr>
        <w:shd w:val="clear" w:color="cbcbcb" w:themeColor="text1" w:themeTint="34" w:fill="cbcbcb" w:themeFill="text1" w:themeFillTint="34"/>
      </w:tcPr>
    </w:tblStylePr>
    <w:tblStylePr w:type="band1Vert">
      <w:rPr>
        <w:rFonts w:ascii="Liberation Sans" w:hAnsi="Liberation Sans"/>
        <w:color w:val="404040"/>
        <w:sz w:val="22"/>
      </w:rPr>
      <w:tcPr>
        <w:shd w:val="clear" w:color="cbcbcb" w:themeColor="text1" w:themeTint="34" w:fill="cbcbcb" w:themeFill="text1"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444">
    <w:name w:val="Grid Table 5 Dark"/>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Liberation Sans" w:hAnsi="Liberation Sans"/>
        <w:b/>
        <w:color w:val="ffffff"/>
        <w:sz w:val="22"/>
      </w:rPr>
      <w:tcPr>
        <w:shd w:val="clear" w:color="000000" w:themeColor="text1" w:fill="000000" w:themeFill="text1"/>
      </w:tcPr>
    </w:tblStylePr>
    <w:tblStylePr w:type="firstRow">
      <w:rPr>
        <w:rFonts w:ascii="Liberation Sans" w:hAnsi="Liberation Sans"/>
        <w:b/>
        <w:color w:val="ffffff"/>
        <w:sz w:val="22"/>
      </w:rPr>
      <w:tcPr>
        <w:shd w:val="clear" w:color="000000" w:themeColor="text1" w:fill="000000" w:themeFill="text1"/>
      </w:tcPr>
    </w:tblStylePr>
    <w:tblStylePr w:type="lastCol">
      <w:rPr>
        <w:rFonts w:ascii="Liberation Sans" w:hAnsi="Liberation Sans"/>
        <w:b/>
        <w:color w:val="ffffff"/>
        <w:sz w:val="22"/>
      </w:rPr>
      <w:tcPr>
        <w:shd w:val="clear" w:color="000000" w:themeColor="text1" w:fill="000000" w:themeFill="text1"/>
      </w:tcPr>
    </w:tblStylePr>
    <w:tblStylePr w:type="lastRow">
      <w:rPr>
        <w:rFonts w:ascii="Liberation Sans" w:hAnsi="Liberation Sans"/>
        <w:b/>
        <w:color w:val="ffffff"/>
        <w:sz w:val="22"/>
      </w:rPr>
      <w:tcPr>
        <w:tcBorders>
          <w:top w:val="single" w:color="FFFFFF" w:themeColor="light1" w:sz="4" w:space="0"/>
        </w:tcBorders>
        <w:shd w:val="clear" w:color="000000" w:themeColor="text1" w:fill="000000" w:themeFill="text1"/>
      </w:tcPr>
    </w:tblStylePr>
  </w:style>
  <w:style w:type="table" w:styleId="1445">
    <w:name w:val="Grid Table 6 Colorful"/>
    <w:basedOn w:val="1421"/>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Liberation Sans" w:hAnsi="Liberation Sans"/>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446">
    <w:name w:val="Grid Table 7 Colorful"/>
    <w:basedOn w:val="1421"/>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Liberation Sans" w:hAnsi="Liberation Sans"/>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tblStylePr w:type="firstCol">
      <w:rPr>
        <w:rFonts w:ascii="Liberation Sans" w:hAnsi="Liberation Sans"/>
        <w:i/>
        <w:color w:val="7f7f7f" w:themeColor="text1" w:themeTint="80" w:themeShade="95"/>
        <w:sz w:val="22"/>
      </w:rPr>
      <w:pPr>
        <w:jc w:val="right"/>
      </w:p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firstRow">
      <w:rPr>
        <w:rFonts w:ascii="Liberation Sans" w:hAnsi="Liberation Sans"/>
        <w:b/>
        <w:color w:val="7f7f7f" w:themeColor="text1" w:themeTint="80" w:themeShade="95"/>
        <w:sz w:val="22"/>
      </w:r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Col">
      <w:rPr>
        <w:rFonts w:ascii="Liberation Sans" w:hAnsi="Liberation Sans"/>
        <w:i/>
        <w:color w:val="7f7f7f" w:themeColor="text1" w:themeTint="80" w:themeShade="95"/>
        <w:sz w:val="22"/>
      </w:r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lastRow">
      <w:rPr>
        <w:rFonts w:ascii="Liberation Sans" w:hAnsi="Liberation Sans"/>
        <w:b/>
        <w:color w:val="7f7f7f" w:themeColor="text1" w:themeTint="80" w:themeShade="95"/>
        <w:sz w:val="22"/>
      </w:r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1447">
    <w:name w:val="List Table 1 Light"/>
    <w:basedOn w:val="1421"/>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448">
    <w:name w:val="List Table 2"/>
    <w:basedOn w:val="1421"/>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Liberation Sans" w:hAnsi="Liberation Sans"/>
        <w:color w:val="404040"/>
        <w:sz w:val="22"/>
      </w:rPr>
      <w:tcPr>
        <w:shd w:val="clear" w:color="bfbfbf" w:themeColor="text1" w:themeTint="40" w:fill="bfbfbf" w:themeFill="text1" w:themeFillTint="40"/>
      </w:tcPr>
    </w:tblStylePr>
    <w:tblStylePr w:type="band1Vert">
      <w:rPr>
        <w:rFonts w:ascii="Liberation Sans" w:hAnsi="Liberation Sans"/>
        <w:color w:val="404040"/>
        <w:sz w:val="22"/>
      </w:rPr>
      <w:tcPr>
        <w:shd w:val="clear" w:color="bfbfbf" w:themeColor="text1" w:themeTint="40" w:fill="bfbfbf" w:themeFill="tex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449">
    <w:name w:val="List Table 3"/>
    <w:basedOn w:val="142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Liberation Sans" w:hAnsi="Liberation Sans"/>
        <w:color w:val="404040"/>
        <w:sz w:val="22"/>
      </w:rPr>
      <w:tcPr>
        <w:tcBorders>
          <w:top w:val="single" w:color="000000" w:themeColor="text1" w:sz="4" w:space="0"/>
          <w:bottom w:val="single" w:color="000000" w:themeColor="text1" w:sz="4" w:space="0"/>
        </w:tcBorders>
      </w:tcPr>
    </w:tblStylePr>
    <w:tblStylePr w:type="band1Vert">
      <w:rPr>
        <w:rFonts w:ascii="Liberation Sans" w:hAnsi="Liberation Sans"/>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Liberation Sans" w:hAnsi="Liberation Sans"/>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450">
    <w:name w:val="List Table 4"/>
    <w:basedOn w:val="142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Liberation Sans" w:hAnsi="Liberation Sans"/>
        <w:color w:val="404040"/>
        <w:sz w:val="22"/>
      </w:rPr>
      <w:tcPr>
        <w:shd w:val="clear" w:color="bfbfbf" w:themeColor="text1" w:themeTint="40" w:fill="bfbfbf" w:themeFill="text1" w:themeFillTint="40"/>
      </w:tcPr>
    </w:tblStylePr>
    <w:tblStylePr w:type="band1Vert">
      <w:rPr>
        <w:rFonts w:ascii="Liberation Sans" w:hAnsi="Liberation Sans"/>
        <w:color w:val="404040"/>
        <w:sz w:val="22"/>
      </w:rPr>
      <w:tcPr>
        <w:shd w:val="clear" w:color="bfbfbf" w:themeColor="text1" w:themeTint="40" w:fill="bfbfbf" w:themeFill="text1" w:themeFillTint="40"/>
      </w:tcPr>
    </w:tblStylePr>
    <w:tblStylePr w:type="firstCol">
      <w:rPr>
        <w:b/>
        <w:color w:val="404040"/>
      </w:rPr>
    </w:tblStylePr>
    <w:tblStylePr w:type="firstRow">
      <w:rPr>
        <w:rFonts w:ascii="Liberation Sans" w:hAnsi="Liberation Sans"/>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451">
    <w:name w:val="List Table 5 Dark"/>
    <w:basedOn w:val="1421"/>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firstCol">
      <w:rPr>
        <w:rFonts w:ascii="Liberation Sans" w:hAnsi="Liberation Sans"/>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Liberation Sans" w:hAnsi="Liberation Sans"/>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Col">
      <w:tcPr>
        <w:tcBorders>
          <w:left w:val="single" w:color="FFFFFF" w:themeColor="light1" w:sz="4" w:space="0"/>
          <w:right w:val="single" w:color="7F7F7F" w:themeColor="text1" w:themeTint="80" w:sz="32" w:space="0"/>
        </w:tcBorders>
      </w:tcPr>
    </w:tblStylePr>
    <w:tblStylePr w:type="lastRow">
      <w:rPr>
        <w:rFonts w:ascii="Liberation Sans" w:hAnsi="Liberation Sans"/>
        <w:b/>
        <w:color w:val="ffffff" w:themeColor="light1"/>
        <w:sz w:val="22"/>
      </w:rPr>
    </w:tblStylePr>
  </w:style>
  <w:style w:type="table" w:styleId="1452">
    <w:name w:val="List Table 6 Colorful"/>
    <w:basedOn w:val="1421"/>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Liberation Sans" w:hAnsi="Liberation Sans"/>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Liberation Sans" w:hAnsi="Liberation Sans"/>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453">
    <w:name w:val="List Table 7 Colorful"/>
    <w:basedOn w:val="1421"/>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Liberation Sans" w:hAnsi="Liberation Sans"/>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tblStylePr w:type="firstCol">
      <w:rPr>
        <w:rFonts w:ascii="Liberation Sans" w:hAnsi="Liberation Sans"/>
        <w:i/>
        <w:color w:val="7f7f7f" w:themeColor="text1" w:themeTint="80" w:themeShade="95"/>
        <w:sz w:val="22"/>
      </w:rPr>
      <w:pPr>
        <w:jc w:val="right"/>
      </w:p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firstRow">
      <w:rPr>
        <w:rFonts w:ascii="Liberation Sans" w:hAnsi="Liberation Sans"/>
        <w:i/>
        <w:color w:val="7f7f7f" w:themeColor="text1" w:themeTint="80" w:themeShade="95"/>
        <w:sz w:val="22"/>
      </w:r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Col">
      <w:rPr>
        <w:rFonts w:ascii="Liberation Sans" w:hAnsi="Liberation Sans"/>
        <w:i/>
        <w:color w:val="7f7f7f" w:themeColor="text1" w:themeTint="80" w:themeShade="95"/>
        <w:sz w:val="22"/>
      </w:r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lastRow">
      <w:rPr>
        <w:rFonts w:ascii="Liberation Sans" w:hAnsi="Liberation Sans"/>
        <w:i/>
        <w:color w:val="7f7f7f" w:themeColor="text1" w:themeTint="80" w:themeShade="95"/>
        <w:sz w:val="22"/>
      </w:r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style>
  <w:style w:type="character" w:styleId="1454" w:customStyle="1">
    <w:name w:val="Heading 1 Char"/>
    <w:basedOn w:val="1420"/>
    <w:uiPriority w:val="9"/>
    <w:rPr>
      <w:rFonts w:ascii="Arial" w:hAnsi="Arial" w:eastAsia="Arial" w:cs="Arial"/>
      <w:sz w:val="40"/>
      <w:szCs w:val="40"/>
    </w:rPr>
  </w:style>
  <w:style w:type="character" w:styleId="1455" w:customStyle="1">
    <w:name w:val="Заголовок 2 Знак1"/>
    <w:basedOn w:val="1420"/>
    <w:link w:val="1412"/>
    <w:uiPriority w:val="9"/>
    <w:rPr>
      <w:rFonts w:ascii="Arial" w:hAnsi="Arial" w:eastAsia="Arial" w:cs="Arial"/>
      <w:sz w:val="34"/>
    </w:rPr>
  </w:style>
  <w:style w:type="character" w:styleId="1456" w:customStyle="1">
    <w:name w:val="Заголовок 3 Знак"/>
    <w:basedOn w:val="1420"/>
    <w:link w:val="1413"/>
    <w:uiPriority w:val="9"/>
    <w:rPr>
      <w:rFonts w:ascii="Arial" w:hAnsi="Arial" w:eastAsia="Arial" w:cs="Arial"/>
      <w:sz w:val="30"/>
      <w:szCs w:val="30"/>
    </w:rPr>
  </w:style>
  <w:style w:type="character" w:styleId="1457" w:customStyle="1">
    <w:name w:val="Heading 4 Char"/>
    <w:basedOn w:val="1420"/>
    <w:uiPriority w:val="9"/>
    <w:rPr>
      <w:rFonts w:ascii="Arial" w:hAnsi="Arial" w:eastAsia="Arial" w:cs="Arial"/>
      <w:b/>
      <w:bCs/>
      <w:sz w:val="26"/>
      <w:szCs w:val="26"/>
    </w:rPr>
  </w:style>
  <w:style w:type="character" w:styleId="1458" w:customStyle="1">
    <w:name w:val="Заголовок 5 Знак"/>
    <w:basedOn w:val="1420"/>
    <w:link w:val="1415"/>
    <w:uiPriority w:val="9"/>
    <w:rPr>
      <w:rFonts w:ascii="Arial" w:hAnsi="Arial" w:eastAsia="Arial" w:cs="Arial"/>
      <w:b/>
      <w:bCs/>
      <w:sz w:val="24"/>
      <w:szCs w:val="24"/>
    </w:rPr>
  </w:style>
  <w:style w:type="character" w:styleId="1459" w:customStyle="1">
    <w:name w:val="Заголовок 6 Знак"/>
    <w:basedOn w:val="1420"/>
    <w:link w:val="1416"/>
    <w:uiPriority w:val="9"/>
    <w:rPr>
      <w:rFonts w:ascii="Arial" w:hAnsi="Arial" w:eastAsia="Arial" w:cs="Arial"/>
      <w:b/>
      <w:bCs/>
      <w:sz w:val="22"/>
      <w:szCs w:val="22"/>
    </w:rPr>
  </w:style>
  <w:style w:type="character" w:styleId="1460" w:customStyle="1">
    <w:name w:val="Заголовок 7 Знак"/>
    <w:basedOn w:val="1420"/>
    <w:link w:val="1417"/>
    <w:uiPriority w:val="9"/>
    <w:rPr>
      <w:rFonts w:ascii="Arial" w:hAnsi="Arial" w:eastAsia="Arial" w:cs="Arial"/>
      <w:b/>
      <w:bCs/>
      <w:i/>
      <w:iCs/>
      <w:sz w:val="22"/>
      <w:szCs w:val="22"/>
    </w:rPr>
  </w:style>
  <w:style w:type="character" w:styleId="1461" w:customStyle="1">
    <w:name w:val="Заголовок 8 Знак"/>
    <w:basedOn w:val="1420"/>
    <w:link w:val="1418"/>
    <w:uiPriority w:val="9"/>
    <w:rPr>
      <w:rFonts w:ascii="Arial" w:hAnsi="Arial" w:eastAsia="Arial" w:cs="Arial"/>
      <w:i/>
      <w:iCs/>
      <w:sz w:val="22"/>
      <w:szCs w:val="22"/>
    </w:rPr>
  </w:style>
  <w:style w:type="character" w:styleId="1462" w:customStyle="1">
    <w:name w:val="Заголовок 9 Знак"/>
    <w:basedOn w:val="1420"/>
    <w:link w:val="1419"/>
    <w:uiPriority w:val="9"/>
    <w:rPr>
      <w:rFonts w:ascii="Arial" w:hAnsi="Arial" w:eastAsia="Arial" w:cs="Arial"/>
      <w:i/>
      <w:iCs/>
      <w:sz w:val="21"/>
      <w:szCs w:val="21"/>
    </w:rPr>
  </w:style>
  <w:style w:type="paragraph" w:styleId="1463">
    <w:name w:val="Title"/>
    <w:basedOn w:val="1410"/>
    <w:next w:val="1410"/>
    <w:link w:val="1464"/>
    <w:uiPriority w:val="10"/>
    <w:qFormat/>
    <w:pPr>
      <w:spacing w:before="300" w:after="200"/>
      <w:contextualSpacing/>
    </w:pPr>
    <w:rPr>
      <w:sz w:val="48"/>
      <w:szCs w:val="48"/>
    </w:rPr>
  </w:style>
  <w:style w:type="character" w:styleId="1464" w:customStyle="1">
    <w:name w:val="Заголовок Знак"/>
    <w:basedOn w:val="1420"/>
    <w:link w:val="1463"/>
    <w:uiPriority w:val="10"/>
    <w:rPr>
      <w:sz w:val="48"/>
      <w:szCs w:val="48"/>
    </w:rPr>
  </w:style>
  <w:style w:type="paragraph" w:styleId="1465">
    <w:name w:val="Subtitle"/>
    <w:basedOn w:val="1410"/>
    <w:next w:val="1410"/>
    <w:link w:val="1466"/>
    <w:uiPriority w:val="11"/>
    <w:qFormat/>
    <w:pPr>
      <w:spacing w:before="200" w:after="200"/>
    </w:pPr>
    <w:rPr>
      <w:sz w:val="24"/>
      <w:szCs w:val="24"/>
    </w:rPr>
  </w:style>
  <w:style w:type="character" w:styleId="1466" w:customStyle="1">
    <w:name w:val="Подзаголовок Знак"/>
    <w:basedOn w:val="1420"/>
    <w:link w:val="1465"/>
    <w:uiPriority w:val="11"/>
    <w:rPr>
      <w:sz w:val="24"/>
      <w:szCs w:val="24"/>
    </w:rPr>
  </w:style>
  <w:style w:type="paragraph" w:styleId="1467">
    <w:name w:val="Quote"/>
    <w:basedOn w:val="1410"/>
    <w:next w:val="1410"/>
    <w:link w:val="1468"/>
    <w:uiPriority w:val="29"/>
    <w:qFormat/>
    <w:pPr>
      <w:ind w:left="720" w:right="720"/>
    </w:pPr>
    <w:rPr>
      <w:i/>
    </w:rPr>
  </w:style>
  <w:style w:type="character" w:styleId="1468" w:customStyle="1">
    <w:name w:val="Цитата 2 Знак"/>
    <w:link w:val="1467"/>
    <w:uiPriority w:val="29"/>
    <w:rPr>
      <w:i/>
    </w:rPr>
  </w:style>
  <w:style w:type="paragraph" w:styleId="1469">
    <w:name w:val="Intense Quote"/>
    <w:basedOn w:val="1410"/>
    <w:next w:val="1410"/>
    <w:link w:val="1470"/>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1470" w:customStyle="1">
    <w:name w:val="Выделенная цитата Знак"/>
    <w:link w:val="1469"/>
    <w:uiPriority w:val="30"/>
    <w:rPr>
      <w:i/>
    </w:rPr>
  </w:style>
  <w:style w:type="character" w:styleId="1471" w:customStyle="1">
    <w:name w:val="Footer Char"/>
    <w:basedOn w:val="1420"/>
    <w:uiPriority w:val="99"/>
  </w:style>
  <w:style w:type="paragraph" w:styleId="1472">
    <w:name w:val="Caption"/>
    <w:basedOn w:val="1410"/>
    <w:next w:val="1410"/>
    <w:link w:val="1473"/>
    <w:uiPriority w:val="35"/>
    <w:semiHidden/>
    <w:unhideWhenUsed/>
    <w:qFormat/>
    <w:pPr>
      <w:spacing w:line="276" w:lineRule="auto"/>
    </w:pPr>
    <w:rPr>
      <w:b/>
      <w:bCs/>
      <w:color w:val="5b9bd5" w:themeColor="accent1"/>
      <w:sz w:val="18"/>
      <w:szCs w:val="18"/>
    </w:rPr>
  </w:style>
  <w:style w:type="character" w:styleId="1473" w:customStyle="1">
    <w:name w:val="Название объекта Знак"/>
    <w:link w:val="1472"/>
    <w:uiPriority w:val="99"/>
  </w:style>
  <w:style w:type="table" w:styleId="1474" w:customStyle="1">
    <w:name w:val="Table Grid Light"/>
    <w:basedOn w:val="142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475" w:customStyle="1">
    <w:name w:val="Таблица простая 11"/>
    <w:basedOn w:val="142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476" w:customStyle="1">
    <w:name w:val="Таблица простая 21"/>
    <w:basedOn w:val="142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477" w:customStyle="1">
    <w:name w:val="Таблица простая 31"/>
    <w:basedOn w:val="142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478" w:customStyle="1">
    <w:name w:val="Таблица простая 41"/>
    <w:basedOn w:val="142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479" w:customStyle="1">
    <w:name w:val="Таблица простая 51"/>
    <w:basedOn w:val="142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tcBorders>
          <w:right w:val="single" w:color="404040" w:sz="4" w:space="0"/>
        </w:tcBorders>
        <w:shd w:val="clear" w:color="ffffff" w:fill="auto"/>
      </w:tcPr>
    </w:tblStyle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style>
  <w:style w:type="table" w:styleId="1480" w:customStyle="1">
    <w:name w:val="Таблица-сетка 1 светлая1"/>
    <w:basedOn w:val="1421"/>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481" w:customStyle="1">
    <w:name w:val="Grid Table 1 Light - Accent 1"/>
    <w:basedOn w:val="1421"/>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1482" w:customStyle="1">
    <w:name w:val="Grid Table 1 Light - Accent 2"/>
    <w:basedOn w:val="1421"/>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483" w:customStyle="1">
    <w:name w:val="Grid Table 1 Light - Accent 3"/>
    <w:basedOn w:val="1421"/>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484" w:customStyle="1">
    <w:name w:val="Grid Table 1 Light - Accent 4"/>
    <w:basedOn w:val="1421"/>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485" w:customStyle="1">
    <w:name w:val="Grid Table 1 Light - Accent 5"/>
    <w:basedOn w:val="1421"/>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1486" w:customStyle="1">
    <w:name w:val="Grid Table 1 Light - Accent 6"/>
    <w:basedOn w:val="1421"/>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487" w:customStyle="1">
    <w:name w:val="Таблица-сетка 21"/>
    <w:basedOn w:val="142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style>
  <w:style w:type="table" w:styleId="1488" w:customStyle="1">
    <w:name w:val="Grid Table 2 - Accent 1"/>
    <w:basedOn w:val="1421"/>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68A2D8" w:themeColor="accent1" w:themeTint="EA"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68A2D8" w:themeColor="accent1" w:themeTint="EA" w:sz="4" w:space="0"/>
          <w:left w:val="none" w:color="000000" w:sz="4" w:space="0"/>
          <w:bottom w:val="none" w:color="000000" w:sz="4" w:space="0"/>
          <w:right w:val="none" w:color="000000" w:sz="4" w:space="0"/>
        </w:tcBorders>
        <w:shd w:val="clear" w:color="ffffff" w:fill="auto"/>
      </w:tcPr>
    </w:tblStylePr>
  </w:style>
  <w:style w:type="table" w:styleId="1489" w:customStyle="1">
    <w:name w:val="Grid Table 2 - Accent 2"/>
    <w:basedOn w:val="1421"/>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tcBorders>
          <w:top w:val="none" w:color="000000" w:sz="4" w:space="0"/>
          <w:left w:val="none" w:color="000000" w:sz="4" w:space="0"/>
          <w:bottom w:val="single" w:color="F4B184" w:themeColor="accent2" w:themeTint="97"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F4B184" w:themeColor="accent2" w:themeTint="97" w:sz="4" w:space="0"/>
          <w:left w:val="none" w:color="000000" w:sz="4" w:space="0"/>
          <w:bottom w:val="none" w:color="000000" w:sz="4" w:space="0"/>
          <w:right w:val="none" w:color="000000" w:sz="4" w:space="0"/>
        </w:tcBorders>
        <w:shd w:val="clear" w:color="ffffff" w:fill="auto"/>
      </w:tcPr>
    </w:tblStylePr>
  </w:style>
  <w:style w:type="table" w:styleId="1490" w:customStyle="1">
    <w:name w:val="Grid Table 2 - Accent 3"/>
    <w:basedOn w:val="1421"/>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themeTint="FE"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A5A5A5" w:themeColor="accent3" w:themeTint="FE" w:sz="4" w:space="0"/>
          <w:left w:val="none" w:color="000000" w:sz="4" w:space="0"/>
          <w:bottom w:val="none" w:color="000000" w:sz="4" w:space="0"/>
          <w:right w:val="none" w:color="000000" w:sz="4" w:space="0"/>
        </w:tcBorders>
        <w:shd w:val="clear" w:color="ffffff" w:fill="auto"/>
      </w:tcPr>
    </w:tblStylePr>
  </w:style>
  <w:style w:type="table" w:styleId="1491" w:customStyle="1">
    <w:name w:val="Grid Table 2 - Accent 4"/>
    <w:basedOn w:val="1421"/>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FFD865" w:themeColor="accent4" w:themeTint="9A"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FFD865" w:themeColor="accent4" w:themeTint="9A" w:sz="4" w:space="0"/>
          <w:left w:val="none" w:color="000000" w:sz="4" w:space="0"/>
          <w:bottom w:val="none" w:color="000000" w:sz="4" w:space="0"/>
          <w:right w:val="none" w:color="000000" w:sz="4" w:space="0"/>
        </w:tcBorders>
        <w:shd w:val="clear" w:color="ffffff" w:fill="auto"/>
      </w:tcPr>
    </w:tblStylePr>
  </w:style>
  <w:style w:type="table" w:styleId="1492" w:customStyle="1">
    <w:name w:val="Grid Table 2 - Accent 5"/>
    <w:basedOn w:val="1421"/>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shd w:val="clear" w:color="ffffff" w:fill="auto"/>
      </w:tcPr>
    </w:tblStylePr>
  </w:style>
  <w:style w:type="table" w:styleId="1493" w:customStyle="1">
    <w:name w:val="Grid Table 2 - Accent 6"/>
    <w:basedOn w:val="1421"/>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12" w:space="0"/>
          <w:right w:val="none" w:color="000000" w:sz="4" w:space="0"/>
        </w:tcBorders>
        <w:shd w:val="clear" w:color="ffffff" w:fill="auto"/>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shd w:val="clear" w:color="ffffff" w:fill="auto"/>
      </w:tcPr>
    </w:tblStylePr>
  </w:style>
  <w:style w:type="table" w:styleId="1494" w:customStyle="1">
    <w:name w:val="Таблица-сетка 31"/>
    <w:basedOn w:val="142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95" w:customStyle="1">
    <w:name w:val="Grid Table 3 - Accent 1"/>
    <w:basedOn w:val="1421"/>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96" w:customStyle="1">
    <w:name w:val="Grid Table 3 - Accent 2"/>
    <w:basedOn w:val="1421"/>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97" w:customStyle="1">
    <w:name w:val="Grid Table 3 - Accent 3"/>
    <w:basedOn w:val="1421"/>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98" w:customStyle="1">
    <w:name w:val="Grid Table 3 - Accent 4"/>
    <w:basedOn w:val="1421"/>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499" w:customStyle="1">
    <w:name w:val="Grid Table 3 - Accent 5"/>
    <w:basedOn w:val="1421"/>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500" w:customStyle="1">
    <w:name w:val="Grid Table 3 - Accent 6"/>
    <w:basedOn w:val="1421"/>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style>
  <w:style w:type="table" w:styleId="1501" w:customStyle="1">
    <w:name w:val="Таблица-сетка 41"/>
    <w:basedOn w:val="1421"/>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02" w:customStyle="1">
    <w:name w:val="Grid Table 4 - Accent 1"/>
    <w:basedOn w:val="1421"/>
    <w:uiPriority w:val="5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shd w:val="clear" w:color="68a2d8" w:themeColor="accent1" w:themeTint="EA" w:fill="68a2d8" w:themeFill="accent1" w:themeFillTint="EA"/>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1503" w:customStyle="1">
    <w:name w:val="Grid Table 4 - Accent 2"/>
    <w:basedOn w:val="1421"/>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shd w:val="clear" w:color="f4b184" w:themeColor="accent2" w:themeTint="97" w:fill="f4b184" w:themeFill="accent2" w:themeFillTint="97"/>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504" w:customStyle="1">
    <w:name w:val="Grid Table 4 - Accent 3"/>
    <w:basedOn w:val="1421"/>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505" w:customStyle="1">
    <w:name w:val="Grid Table 4 - Accent 4"/>
    <w:basedOn w:val="1421"/>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shd w:val="clear" w:color="ffd865" w:themeColor="accent4" w:themeTint="9A" w:fill="ffd865" w:themeFill="accent4" w:themeFillTint="9A"/>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506" w:customStyle="1">
    <w:name w:val="Grid Table 4 - Accent 5"/>
    <w:basedOn w:val="1421"/>
    <w:uiPriority w:val="5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1507" w:customStyle="1">
    <w:name w:val="Grid Table 4 - Accent 6"/>
    <w:basedOn w:val="1421"/>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508" w:customStyle="1">
    <w:name w:val="Таблица-сетка 5 темная1"/>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style>
  <w:style w:type="table" w:styleId="1509" w:customStyle="1">
    <w:name w:val="Grid Table 5 Dark- Accent 1"/>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style>
  <w:style w:type="table" w:styleId="1510" w:customStyle="1">
    <w:name w:val="Grid Table 5 Dark - Accent 2"/>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style>
  <w:style w:type="table" w:styleId="1511" w:customStyle="1">
    <w:name w:val="Grid Table 5 Dark - Accent 3"/>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style>
  <w:style w:type="table" w:styleId="1512" w:customStyle="1">
    <w:name w:val="Grid Table 5 Dark- Accent 4"/>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style>
  <w:style w:type="table" w:styleId="1513" w:customStyle="1">
    <w:name w:val="Grid Table 5 Dark - Accent 5"/>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style>
  <w:style w:type="table" w:styleId="1514" w:customStyle="1">
    <w:name w:val="Grid Table 5 Dark - Accent 6"/>
    <w:basedOn w:val="142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style>
  <w:style w:type="table" w:styleId="1515" w:customStyle="1">
    <w:name w:val="Таблица-сетка 6 цветная1"/>
    <w:basedOn w:val="1421"/>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516" w:customStyle="1">
    <w:name w:val="Grid Table 6 Colorful - Accent 1"/>
    <w:basedOn w:val="1421"/>
    <w:uiPriority w:val="99"/>
    <w:pPr>
      <w:spacing w:after="0" w:line="240" w:lineRule="auto"/>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1517" w:customStyle="1">
    <w:name w:val="Grid Table 6 Colorful - Accent 2"/>
    <w:basedOn w:val="1421"/>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518" w:customStyle="1">
    <w:name w:val="Grid Table 6 Colorful - Accent 3"/>
    <w:basedOn w:val="1421"/>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519" w:customStyle="1">
    <w:name w:val="Grid Table 6 Colorful - Accent 4"/>
    <w:basedOn w:val="1421"/>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520" w:customStyle="1">
    <w:name w:val="Grid Table 6 Colorful - Accent 5"/>
    <w:basedOn w:val="1421"/>
    <w:uiPriority w:val="99"/>
    <w:pPr>
      <w:spacing w:after="0" w:line="240" w:lineRule="auto"/>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521" w:customStyle="1">
    <w:name w:val="Grid Table 6 Colorful - Accent 6"/>
    <w:basedOn w:val="1421"/>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522" w:customStyle="1">
    <w:name w:val="Таблица-сетка 7 цветная1"/>
    <w:basedOn w:val="1421"/>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firstRow">
      <w:rPr>
        <w:rFonts w:ascii="Arial" w:hAnsi="Arial"/>
        <w:b/>
        <w:color w:val="7f7f7f" w:themeColor="text1" w:themeTint="80" w:themeShade="95"/>
        <w:sz w:val="22"/>
      </w:r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Col">
      <w:rPr>
        <w:rFonts w:ascii="Arial" w:hAnsi="Arial"/>
        <w:i/>
        <w:color w:val="7f7f7f" w:themeColor="text1" w:themeTint="80" w:themeShade="95"/>
        <w:sz w:val="22"/>
      </w:r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lastRow">
      <w:rPr>
        <w:rFonts w:ascii="Arial" w:hAnsi="Arial"/>
        <w:b/>
        <w:color w:val="7f7f7f" w:themeColor="text1" w:themeTint="80" w:themeShade="95"/>
        <w:sz w:val="22"/>
      </w:r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3" w:customStyle="1">
    <w:name w:val="Grid Table 7 Colorful - Accent 1"/>
    <w:basedOn w:val="1421"/>
    <w:uiPriority w:val="99"/>
    <w:pPr>
      <w:spacing w:after="0" w:line="240" w:lineRule="auto"/>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tcBorders>
          <w:top w:val="none" w:color="000000" w:sz="4" w:space="0"/>
          <w:left w:val="none" w:color="000000" w:sz="4" w:space="0"/>
          <w:bottom w:val="none" w:color="000000" w:sz="4" w:space="0"/>
          <w:right w:val="single" w:color="ACCCEA" w:themeColor="accent1" w:themeTint="80" w:sz="4" w:space="0"/>
        </w:tcBorders>
        <w:shd w:val="clear" w:color="ffffff" w:fill="auto"/>
      </w:tcPr>
    </w:tblStylePr>
    <w:tblStylePr w:type="firstRow">
      <w:rPr>
        <w:rFonts w:ascii="Arial" w:hAnsi="Arial"/>
        <w:b/>
        <w:color w:val="acccea" w:themeColor="accent1" w:themeTint="80" w:themeShade="95"/>
        <w:sz w:val="22"/>
      </w:rPr>
      <w:tcPr>
        <w:tcBorders>
          <w:top w:val="none" w:color="000000" w:sz="4" w:space="0"/>
          <w:left w:val="none" w:color="000000" w:sz="4" w:space="0"/>
          <w:bottom w:val="single" w:color="ACCCEA" w:themeColor="accent1" w:themeTint="80" w:sz="4" w:space="0"/>
          <w:right w:val="none" w:color="000000" w:sz="4" w:space="0"/>
        </w:tcBorders>
        <w:shd w:val="clear" w:color="ffffff" w:themeColor="light1" w:fill="ffffff" w:themeFill="light1"/>
      </w:tcPr>
    </w:tblStylePr>
    <w:tblStylePr w:type="lastCol">
      <w:rPr>
        <w:rFonts w:ascii="Arial" w:hAnsi="Arial"/>
        <w:i/>
        <w:color w:val="acccea" w:themeColor="accent1" w:themeTint="80" w:themeShade="95"/>
        <w:sz w:val="22"/>
      </w:rPr>
      <w:tcPr>
        <w:tcBorders>
          <w:top w:val="none" w:color="000000" w:sz="4" w:space="0"/>
          <w:left w:val="single" w:color="ACCCEA" w:themeColor="accent1" w:themeTint="80" w:sz="4" w:space="0"/>
          <w:bottom w:val="none" w:color="000000" w:sz="4" w:space="0"/>
          <w:right w:val="none" w:color="000000" w:sz="4" w:space="0"/>
        </w:tcBorders>
        <w:shd w:val="clear" w:color="ffffff" w:fill="auto"/>
      </w:tcPr>
    </w:tblStylePr>
    <w:tblStylePr w:type="lastRow">
      <w:rPr>
        <w:rFonts w:ascii="Arial" w:hAnsi="Arial"/>
        <w:b/>
        <w:color w:val="acccea" w:themeColor="accent1" w:themeTint="80" w:themeShade="95"/>
        <w:sz w:val="22"/>
      </w:rPr>
      <w:tcPr>
        <w:tcBorders>
          <w:top w:val="single" w:color="ACCCEA" w:themeColor="accen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4" w:customStyle="1">
    <w:name w:val="Grid Table 7 Colorful - Accent 2"/>
    <w:basedOn w:val="1421"/>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tcBorders>
          <w:top w:val="none" w:color="000000" w:sz="4" w:space="0"/>
          <w:left w:val="none" w:color="000000" w:sz="4" w:space="0"/>
          <w:bottom w:val="none" w:color="000000" w:sz="4" w:space="0"/>
          <w:right w:val="single" w:color="F4B184" w:themeColor="accent2" w:themeTint="97" w:sz="4" w:space="0"/>
        </w:tcBorders>
        <w:shd w:val="clear" w:color="ffffff" w:fill="auto"/>
      </w:tcPr>
    </w:tblStylePr>
    <w:tblStylePr w:type="firstRow">
      <w:rPr>
        <w:rFonts w:ascii="Arial" w:hAnsi="Arial"/>
        <w:b/>
        <w:color w:val="f4b184" w:themeColor="accent2" w:themeTint="97" w:themeShade="95"/>
        <w:sz w:val="22"/>
      </w:rPr>
      <w:tcPr>
        <w:tcBorders>
          <w:top w:val="none" w:color="000000" w:sz="4" w:space="0"/>
          <w:left w:val="none" w:color="000000" w:sz="4" w:space="0"/>
          <w:bottom w:val="single" w:color="F4B184" w:themeColor="accent2" w:themeTint="97" w:sz="4" w:space="0"/>
          <w:right w:val="none" w:color="000000" w:sz="4" w:space="0"/>
        </w:tcBorders>
        <w:shd w:val="clear" w:color="ffffff" w:themeColor="light1" w:fill="ffffff" w:themeFill="light1"/>
      </w:tcPr>
    </w:tblStylePr>
    <w:tblStylePr w:type="lastCol">
      <w:rPr>
        <w:rFonts w:ascii="Arial" w:hAnsi="Arial"/>
        <w:i/>
        <w:color w:val="f4b184" w:themeColor="accent2" w:themeTint="97" w:themeShade="95"/>
        <w:sz w:val="22"/>
      </w:rPr>
      <w:tcPr>
        <w:tcBorders>
          <w:top w:val="none" w:color="000000" w:sz="4" w:space="0"/>
          <w:left w:val="single" w:color="F4B184" w:themeColor="accent2" w:themeTint="97" w:sz="4" w:space="0"/>
          <w:bottom w:val="none" w:color="000000" w:sz="4" w:space="0"/>
          <w:right w:val="none" w:color="000000" w:sz="4" w:space="0"/>
        </w:tcBorders>
        <w:shd w:val="clear" w:color="ffffff" w:fill="auto"/>
      </w:tcPr>
    </w:tblStylePr>
    <w:tblStylePr w:type="lastRow">
      <w:rPr>
        <w:rFonts w:ascii="Arial" w:hAnsi="Arial"/>
        <w:b/>
        <w:color w:val="f4b184" w:themeColor="accent2" w:themeTint="97" w:themeShade="95"/>
        <w:sz w:val="22"/>
      </w:rPr>
      <w:tcPr>
        <w:tcBorders>
          <w:top w:val="single" w:color="F4B184" w:themeColor="accent2" w:themeTint="97"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5" w:customStyle="1">
    <w:name w:val="Grid Table 7 Colorful - Accent 3"/>
    <w:basedOn w:val="1421"/>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tcBorders>
          <w:top w:val="none" w:color="000000" w:sz="4" w:space="0"/>
          <w:left w:val="none" w:color="000000" w:sz="4" w:space="0"/>
          <w:bottom w:val="none" w:color="000000" w:sz="4" w:space="0"/>
          <w:right w:val="single" w:color="A5A5A5" w:themeColor="accent3" w:themeTint="FE" w:sz="4" w:space="0"/>
        </w:tcBorders>
        <w:shd w:val="clear" w:color="ffffff" w:fill="auto"/>
      </w:tcPr>
    </w:tblStylePr>
    <w:tblStylePr w:type="firstRow">
      <w:rPr>
        <w:rFonts w:ascii="Arial" w:hAnsi="Arial"/>
        <w:b/>
        <w:color w:val="a5a5a5" w:themeColor="accent3" w:themeTint="FE" w:themeShade="95"/>
        <w:sz w:val="22"/>
      </w:rPr>
      <w:tcPr>
        <w:tcBorders>
          <w:top w:val="none" w:color="000000" w:sz="4" w:space="0"/>
          <w:left w:val="none" w:color="000000" w:sz="4" w:space="0"/>
          <w:bottom w:val="single" w:color="A5A5A5" w:themeColor="accent3" w:themeTint="FE" w:sz="4" w:space="0"/>
          <w:right w:val="none" w:color="000000" w:sz="4" w:space="0"/>
        </w:tcBorders>
        <w:shd w:val="clear" w:color="ffffff" w:themeColor="light1" w:fill="ffffff" w:themeFill="light1"/>
      </w:tcPr>
    </w:tblStylePr>
    <w:tblStylePr w:type="lastCol">
      <w:rPr>
        <w:rFonts w:ascii="Arial" w:hAnsi="Arial"/>
        <w:i/>
        <w:color w:val="a5a5a5" w:themeColor="accent3" w:themeTint="FE" w:themeShade="95"/>
        <w:sz w:val="22"/>
      </w:rPr>
      <w:tcPr>
        <w:tcBorders>
          <w:top w:val="none" w:color="000000" w:sz="4" w:space="0"/>
          <w:left w:val="single" w:color="A5A5A5" w:themeColor="accent3" w:themeTint="FE" w:sz="4" w:space="0"/>
          <w:bottom w:val="none" w:color="000000" w:sz="4" w:space="0"/>
          <w:right w:val="none" w:color="000000" w:sz="4" w:space="0"/>
        </w:tcBorders>
        <w:shd w:val="clear" w:color="ffffff" w:fill="auto"/>
      </w:tcPr>
    </w:tblStylePr>
    <w:tblStylePr w:type="lastRow">
      <w:rPr>
        <w:rFonts w:ascii="Arial" w:hAnsi="Arial"/>
        <w:b/>
        <w:color w:val="a5a5a5" w:themeColor="accent3" w:themeTint="FE" w:themeShade="95"/>
        <w:sz w:val="22"/>
      </w:rPr>
      <w:tcPr>
        <w:tcBorders>
          <w:top w:val="single" w:color="A5A5A5" w:themeColor="accent3" w:themeTint="FE"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6" w:customStyle="1">
    <w:name w:val="Grid Table 7 Colorful - Accent 4"/>
    <w:basedOn w:val="1421"/>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tcBorders>
          <w:top w:val="none" w:color="000000" w:sz="4" w:space="0"/>
          <w:left w:val="none" w:color="000000" w:sz="4" w:space="0"/>
          <w:bottom w:val="none" w:color="000000" w:sz="4" w:space="0"/>
          <w:right w:val="single" w:color="FFD865" w:themeColor="accent4" w:themeTint="9A" w:sz="4" w:space="0"/>
        </w:tcBorders>
        <w:shd w:val="clear" w:color="ffffff" w:fill="auto"/>
      </w:tcPr>
    </w:tblStylePr>
    <w:tblStylePr w:type="firstRow">
      <w:rPr>
        <w:rFonts w:ascii="Arial" w:hAnsi="Arial"/>
        <w:b/>
        <w:color w:val="ffd865" w:themeColor="accent4" w:themeTint="9A" w:themeShade="95"/>
        <w:sz w:val="22"/>
      </w:rPr>
      <w:tcPr>
        <w:tcBorders>
          <w:top w:val="none" w:color="000000" w:sz="4" w:space="0"/>
          <w:left w:val="none" w:color="000000" w:sz="4" w:space="0"/>
          <w:bottom w:val="single" w:color="FFD865" w:themeColor="accent4" w:themeTint="9A" w:sz="4" w:space="0"/>
          <w:right w:val="none" w:color="000000" w:sz="4" w:space="0"/>
        </w:tcBorders>
        <w:shd w:val="clear" w:color="ffffff" w:themeColor="light1" w:fill="ffffff" w:themeFill="light1"/>
      </w:tcPr>
    </w:tblStylePr>
    <w:tblStylePr w:type="lastCol">
      <w:rPr>
        <w:rFonts w:ascii="Arial" w:hAnsi="Arial"/>
        <w:i/>
        <w:color w:val="ffd865" w:themeColor="accent4" w:themeTint="9A" w:themeShade="95"/>
        <w:sz w:val="22"/>
      </w:rPr>
      <w:tcPr>
        <w:tcBorders>
          <w:top w:val="none" w:color="000000" w:sz="4" w:space="0"/>
          <w:left w:val="single" w:color="FFD865" w:themeColor="accent4" w:themeTint="9A" w:sz="4" w:space="0"/>
          <w:bottom w:val="none" w:color="000000" w:sz="4" w:space="0"/>
          <w:right w:val="none" w:color="000000" w:sz="4" w:space="0"/>
        </w:tcBorders>
        <w:shd w:val="clear" w:color="ffffff" w:fill="auto"/>
      </w:tcPr>
    </w:tblStylePr>
    <w:tblStylePr w:type="lastRow">
      <w:rPr>
        <w:rFonts w:ascii="Arial" w:hAnsi="Arial"/>
        <w:b/>
        <w:color w:val="ffd865" w:themeColor="accent4" w:themeTint="9A" w:themeShade="95"/>
        <w:sz w:val="22"/>
      </w:rPr>
      <w:tcPr>
        <w:tcBorders>
          <w:top w:val="single" w:color="FFD865" w:themeColor="accent4" w:themeTint="9A"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7" w:customStyle="1">
    <w:name w:val="Grid Table 7 Colorful - Accent 5"/>
    <w:basedOn w:val="1421"/>
    <w:uiPriority w:val="99"/>
    <w:pPr>
      <w:spacing w:after="0" w:line="240" w:lineRule="auto"/>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tcBorders>
          <w:top w:val="none" w:color="000000" w:sz="4" w:space="0"/>
          <w:left w:val="none" w:color="000000" w:sz="4" w:space="0"/>
          <w:bottom w:val="none" w:color="000000" w:sz="4" w:space="0"/>
          <w:right w:val="single" w:color="95AFDD" w:themeColor="accent5" w:themeTint="90" w:sz="4" w:space="0"/>
        </w:tcBorders>
        <w:shd w:val="clear" w:color="ffffff" w:fill="auto"/>
      </w:tcPr>
    </w:tblStylePr>
    <w:tblStylePr w:type="firstRow">
      <w:rPr>
        <w:rFonts w:ascii="Arial" w:hAnsi="Arial"/>
        <w:b/>
        <w:color w:val="254175" w:themeColor="accent5" w:themeShade="95"/>
        <w:sz w:val="22"/>
      </w:rPr>
      <w:tcPr>
        <w:tcBorders>
          <w:top w:val="none" w:color="000000" w:sz="4" w:space="0"/>
          <w:left w:val="none" w:color="000000" w:sz="4" w:space="0"/>
          <w:bottom w:val="single" w:color="95AFDD" w:themeColor="accent5" w:themeTint="90" w:sz="4" w:space="0"/>
          <w:right w:val="none" w:color="000000" w:sz="4" w:space="0"/>
        </w:tcBorders>
        <w:shd w:val="clear" w:color="ffffff" w:themeColor="light1" w:fill="ffffff" w:themeFill="light1"/>
      </w:tcPr>
    </w:tblStylePr>
    <w:tblStylePr w:type="lastCol">
      <w:rPr>
        <w:rFonts w:ascii="Arial" w:hAnsi="Arial"/>
        <w:i/>
        <w:color w:val="254175" w:themeColor="accent5" w:themeShade="95"/>
        <w:sz w:val="22"/>
      </w:rPr>
      <w:tcPr>
        <w:tcBorders>
          <w:top w:val="none" w:color="000000" w:sz="4" w:space="0"/>
          <w:left w:val="single" w:color="95AFDD" w:themeColor="accent5" w:themeTint="90" w:sz="4" w:space="0"/>
          <w:bottom w:val="none" w:color="000000" w:sz="4" w:space="0"/>
          <w:right w:val="none" w:color="000000" w:sz="4" w:space="0"/>
        </w:tcBorders>
        <w:shd w:val="clear" w:color="ffffff" w:fill="auto"/>
      </w:tcPr>
    </w:tblStylePr>
    <w:tblStylePr w:type="lastRow">
      <w:rPr>
        <w:rFonts w:ascii="Arial" w:hAnsi="Arial"/>
        <w:b/>
        <w:color w:val="254175" w:themeColor="accent5" w:themeShade="95"/>
        <w:sz w:val="22"/>
      </w:rPr>
      <w:tcPr>
        <w:tcBorders>
          <w:top w:val="single" w:color="95AFDD" w:themeColor="accent5" w:themeTint="90"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8" w:customStyle="1">
    <w:name w:val="Grid Table 7 Colorful - Accent 6"/>
    <w:basedOn w:val="1421"/>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tcBorders>
          <w:top w:val="none" w:color="000000" w:sz="4" w:space="0"/>
          <w:left w:val="none" w:color="000000" w:sz="4" w:space="0"/>
          <w:bottom w:val="none" w:color="000000" w:sz="4" w:space="0"/>
          <w:right w:val="single" w:color="ADD394" w:themeColor="accent6" w:themeTint="90" w:sz="4" w:space="0"/>
        </w:tcBorders>
        <w:shd w:val="clear" w:color="ffffff" w:fill="auto"/>
      </w:tcPr>
    </w:tblStylePr>
    <w:tblStylePr w:type="firstRow">
      <w:rPr>
        <w:rFonts w:ascii="Arial" w:hAnsi="Arial"/>
        <w:b/>
        <w:color w:val="416429" w:themeColor="accent6" w:themeShade="95"/>
        <w:sz w:val="22"/>
      </w:rPr>
      <w:tcPr>
        <w:tcBorders>
          <w:top w:val="none" w:color="000000" w:sz="4" w:space="0"/>
          <w:left w:val="none" w:color="000000" w:sz="4" w:space="0"/>
          <w:bottom w:val="single" w:color="ADD394" w:themeColor="accent6" w:themeTint="90" w:sz="4" w:space="0"/>
          <w:right w:val="none" w:color="000000" w:sz="4" w:space="0"/>
        </w:tcBorders>
        <w:shd w:val="clear" w:color="ffffff" w:themeColor="light1" w:fill="ffffff" w:themeFill="light1"/>
      </w:tcPr>
    </w:tblStylePr>
    <w:tblStylePr w:type="lastCol">
      <w:rPr>
        <w:rFonts w:ascii="Arial" w:hAnsi="Arial"/>
        <w:i/>
        <w:color w:val="416429" w:themeColor="accent6" w:themeShade="95"/>
        <w:sz w:val="22"/>
      </w:rPr>
      <w:tcPr>
        <w:tcBorders>
          <w:top w:val="none" w:color="000000" w:sz="4" w:space="0"/>
          <w:left w:val="single" w:color="ADD394" w:themeColor="accent6" w:themeTint="90" w:sz="4" w:space="0"/>
          <w:bottom w:val="none" w:color="000000" w:sz="4" w:space="0"/>
          <w:right w:val="none" w:color="000000" w:sz="4" w:space="0"/>
        </w:tcBorders>
        <w:shd w:val="clear" w:color="ffffff" w:fill="auto"/>
      </w:tcPr>
    </w:tblStylePr>
    <w:tblStylePr w:type="lastRow">
      <w:rPr>
        <w:rFonts w:ascii="Arial" w:hAnsi="Arial"/>
        <w:b/>
        <w:color w:val="416429" w:themeColor="accent6" w:themeShade="95"/>
        <w:sz w:val="22"/>
      </w:rPr>
      <w:tcPr>
        <w:tcBorders>
          <w:top w:val="single" w:color="ADD394" w:themeColor="accent6" w:themeTint="90" w:sz="4" w:space="0"/>
          <w:left w:val="none" w:color="000000" w:sz="4" w:space="0"/>
          <w:bottom w:val="none" w:color="000000" w:sz="4" w:space="0"/>
          <w:right w:val="none" w:color="000000" w:sz="4" w:space="0"/>
        </w:tcBorders>
        <w:shd w:val="clear" w:color="ffffff" w:themeColor="light1" w:fill="ffffff" w:themeFill="light1"/>
      </w:tcPr>
    </w:tblStylePr>
  </w:style>
  <w:style w:type="table" w:styleId="1529" w:customStyle="1">
    <w:name w:val="Список-таблица 1 светлая1"/>
    <w:basedOn w:val="1421"/>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530" w:customStyle="1">
    <w:name w:val="List Table 1 Light - Accent 1"/>
    <w:basedOn w:val="1421"/>
    <w:uiPriority w:val="99"/>
    <w:pPr>
      <w:spacing w:after="0" w:line="240" w:lineRule="auto"/>
    </w:pPr>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531" w:customStyle="1">
    <w:name w:val="List Table 1 Light - Accent 2"/>
    <w:basedOn w:val="1421"/>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532" w:customStyle="1">
    <w:name w:val="List Table 1 Light - Accent 3"/>
    <w:basedOn w:val="1421"/>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533" w:customStyle="1">
    <w:name w:val="List Table 1 Light - Accent 4"/>
    <w:basedOn w:val="1421"/>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534" w:customStyle="1">
    <w:name w:val="List Table 1 Light - Accent 5"/>
    <w:basedOn w:val="1421"/>
    <w:uiPriority w:val="99"/>
    <w:pPr>
      <w:spacing w:after="0" w:line="240" w:lineRule="auto"/>
    </w:pPr>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535" w:customStyle="1">
    <w:name w:val="List Table 1 Light - Accent 6"/>
    <w:basedOn w:val="1421"/>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536" w:customStyle="1">
    <w:name w:val="Список-таблица 21"/>
    <w:basedOn w:val="1421"/>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537" w:customStyle="1">
    <w:name w:val="List Table 2 - Accent 1"/>
    <w:basedOn w:val="1421"/>
    <w:uiPriority w:val="99"/>
    <w:pPr>
      <w:spacing w:after="0" w:line="240" w:lineRule="auto"/>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538" w:customStyle="1">
    <w:name w:val="List Table 2 - Accent 2"/>
    <w:basedOn w:val="1421"/>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539" w:customStyle="1">
    <w:name w:val="List Table 2 - Accent 3"/>
    <w:basedOn w:val="1421"/>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540" w:customStyle="1">
    <w:name w:val="List Table 2 - Accent 4"/>
    <w:basedOn w:val="1421"/>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541" w:customStyle="1">
    <w:name w:val="List Table 2 - Accent 5"/>
    <w:basedOn w:val="1421"/>
    <w:uiPriority w:val="99"/>
    <w:pPr>
      <w:spacing w:after="0" w:line="240" w:lineRule="auto"/>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542" w:customStyle="1">
    <w:name w:val="List Table 2 - Accent 6"/>
    <w:basedOn w:val="1421"/>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543" w:customStyle="1">
    <w:name w:val="Список-таблица 31"/>
    <w:basedOn w:val="142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44" w:customStyle="1">
    <w:name w:val="List Table 3 - Accent 1"/>
    <w:basedOn w:val="1421"/>
    <w:uiPriority w:val="99"/>
    <w:pPr>
      <w:spacing w:after="0" w:line="240" w:lineRule="auto"/>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545" w:customStyle="1">
    <w:name w:val="List Table 3 - Accent 2"/>
    <w:basedOn w:val="1421"/>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546" w:customStyle="1">
    <w:name w:val="List Table 3 - Accent 3"/>
    <w:basedOn w:val="1421"/>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547" w:customStyle="1">
    <w:name w:val="List Table 3 - Accent 4"/>
    <w:basedOn w:val="1421"/>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548" w:customStyle="1">
    <w:name w:val="List Table 3 - Accent 5"/>
    <w:basedOn w:val="1421"/>
    <w:uiPriority w:val="99"/>
    <w:pPr>
      <w:spacing w:after="0" w:line="240" w:lineRule="auto"/>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549" w:customStyle="1">
    <w:name w:val="List Table 3 - Accent 6"/>
    <w:basedOn w:val="1421"/>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550" w:customStyle="1">
    <w:name w:val="Список-таблица 41"/>
    <w:basedOn w:val="142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51" w:customStyle="1">
    <w:name w:val="List Table 4 - Accent 1"/>
    <w:basedOn w:val="1421"/>
    <w:uiPriority w:val="9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552" w:customStyle="1">
    <w:name w:val="List Table 4 - Accent 2"/>
    <w:basedOn w:val="1421"/>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553" w:customStyle="1">
    <w:name w:val="List Table 4 - Accent 3"/>
    <w:basedOn w:val="1421"/>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554" w:customStyle="1">
    <w:name w:val="List Table 4 - Accent 4"/>
    <w:basedOn w:val="1421"/>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555" w:customStyle="1">
    <w:name w:val="List Table 4 - Accent 5"/>
    <w:basedOn w:val="1421"/>
    <w:uiPriority w:val="9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556" w:customStyle="1">
    <w:name w:val="List Table 4 - Accent 6"/>
    <w:basedOn w:val="1421"/>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557" w:customStyle="1">
    <w:name w:val="Список-таблица 5 темная1"/>
    <w:basedOn w:val="1421"/>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558" w:customStyle="1">
    <w:name w:val="List Table 5 Dark - Accent 1"/>
    <w:basedOn w:val="1421"/>
    <w:uiPriority w:val="99"/>
    <w:pPr>
      <w:spacing w:after="0" w:line="240" w:lineRule="auto"/>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tcBorders>
          <w:top w:val="single" w:color="5B9BD5" w:themeColor="accent1" w:sz="32" w:space="0"/>
          <w:bottom w:val="single" w:color="FFFFFF" w:themeColor="light1" w:sz="12" w:space="0"/>
        </w:tcBorders>
        <w:shd w:val="clear" w:color="5b9bd5" w:themeColor="accent1" w:fill="5b9bd5" w:themeFill="accent1"/>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559" w:customStyle="1">
    <w:name w:val="List Table 5 Dark - Accent 2"/>
    <w:basedOn w:val="1421"/>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tcBorders>
          <w:top w:val="single" w:color="FFFFFF" w:themeColor="light1" w:sz="4" w:space="0"/>
          <w:bottom w:val="single" w:color="FFFFFF" w:themeColor="light1" w:sz="4" w:space="0"/>
        </w:tcBorders>
        <w:shd w:val="clear" w:color="f4b184" w:themeColor="accent2" w:themeTint="97" w:fill="f4b184" w:themeFill="accent2" w:themeFillTint="97"/>
      </w:tcPr>
    </w:tblStylePr>
    <w:tblStylePr w:type="band1Vert">
      <w:tcPr>
        <w:tcBorders>
          <w:left w:val="single" w:color="FFFFFF" w:themeColor="light1" w:sz="4" w:space="0"/>
          <w:right w:val="single" w:color="FFFFFF" w:themeColor="light1" w:sz="4" w:space="0"/>
        </w:tcBorders>
        <w:shd w:val="clear" w:color="f4b184" w:themeColor="accent2" w:themeTint="97" w:fill="f4b184" w:themeFill="accent2" w:themeFillTint="97"/>
      </w:tcPr>
    </w:tblStylePr>
    <w:tblStylePr w:type="band2Horz">
      <w:tcPr>
        <w:tcBorders>
          <w:top w:val="single" w:color="FFFFFF" w:themeColor="light1" w:sz="4" w:space="0"/>
          <w:bottom w:val="single" w:color="FFFFFF" w:themeColor="light1" w:sz="4" w:space="0"/>
        </w:tcBorders>
        <w:shd w:val="clear" w:color="f4b184" w:themeColor="accent2" w:themeTint="97" w:fill="f4b184" w:themeFill="accent2" w:themeFillTint="97"/>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tcBorders>
          <w:top w:val="single" w:color="F4B184" w:themeColor="accent2" w:themeTint="97" w:sz="32" w:space="0"/>
          <w:bottom w:val="single" w:color="FFFFFF" w:themeColor="light1" w:sz="12" w:space="0"/>
        </w:tcBorders>
        <w:shd w:val="clear" w:color="f4b184" w:themeColor="accent2" w:themeTint="97" w:fill="f4b184" w:themeFill="accent2" w:themeFillTint="97"/>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560" w:customStyle="1">
    <w:name w:val="List Table 5 Dark - Accent 3"/>
    <w:basedOn w:val="1421"/>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561" w:customStyle="1">
    <w:name w:val="List Table 5 Dark - Accent 4"/>
    <w:basedOn w:val="1421"/>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tcBorders>
          <w:top w:val="single" w:color="FFFFFF" w:themeColor="light1" w:sz="4" w:space="0"/>
          <w:bottom w:val="single" w:color="FFFFFF" w:themeColor="light1" w:sz="4" w:space="0"/>
        </w:tcBorders>
        <w:shd w:val="clear" w:color="ffd865" w:themeColor="accent4" w:themeTint="9A" w:fill="ffd865" w:themeFill="accent4" w:themeFillTint="9A"/>
      </w:tcPr>
    </w:tblStylePr>
    <w:tblStylePr w:type="band1Vert">
      <w:tcPr>
        <w:tcBorders>
          <w:left w:val="single" w:color="FFFFFF" w:themeColor="light1" w:sz="4" w:space="0"/>
          <w:right w:val="single" w:color="FFFFFF" w:themeColor="light1" w:sz="4" w:space="0"/>
        </w:tcBorders>
        <w:shd w:val="clear" w:color="ffd865" w:themeColor="accent4" w:themeTint="9A" w:fill="ffd865" w:themeFill="accent4" w:themeFillTint="9A"/>
      </w:tcPr>
    </w:tblStylePr>
    <w:tblStylePr w:type="band2Horz">
      <w:tcPr>
        <w:tcBorders>
          <w:top w:val="single" w:color="FFFFFF" w:themeColor="light1" w:sz="4" w:space="0"/>
          <w:bottom w:val="single" w:color="FFFFFF" w:themeColor="light1" w:sz="4" w:space="0"/>
        </w:tcBorders>
        <w:shd w:val="clear" w:color="ffd865" w:themeColor="accent4" w:themeTint="9A" w:fill="ffd865" w:themeFill="accent4" w:themeFillTint="9A"/>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tcBorders>
          <w:top w:val="single" w:color="FFD865" w:themeColor="accent4" w:themeTint="9A" w:sz="32" w:space="0"/>
          <w:bottom w:val="single" w:color="FFFFFF" w:themeColor="light1" w:sz="12" w:space="0"/>
        </w:tcBorders>
        <w:shd w:val="clear" w:color="ffd865" w:themeColor="accent4" w:themeTint="9A" w:fill="ffd865" w:themeFill="accent4" w:themeFillTint="9A"/>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562" w:customStyle="1">
    <w:name w:val="List Table 5 Dark - Accent 5"/>
    <w:basedOn w:val="1421"/>
    <w:uiPriority w:val="99"/>
    <w:pPr>
      <w:spacing w:after="0" w:line="240" w:lineRule="auto"/>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tcBorders>
          <w:top w:val="single" w:color="FFFFFF" w:themeColor="light1" w:sz="4" w:space="0"/>
          <w:bottom w:val="single" w:color="FFFFFF" w:themeColor="light1" w:sz="4" w:space="0"/>
        </w:tcBorders>
        <w:shd w:val="clear" w:color="8da9db" w:themeColor="accent5" w:themeTint="9A" w:fill="8da9db" w:themeFill="accent5" w:themeFillTint="9A"/>
      </w:tcPr>
    </w:tblStylePr>
    <w:tblStylePr w:type="band1Vert">
      <w:tcPr>
        <w:tcBorders>
          <w:left w:val="single" w:color="FFFFFF" w:themeColor="light1" w:sz="4" w:space="0"/>
          <w:right w:val="single" w:color="FFFFFF" w:themeColor="light1" w:sz="4" w:space="0"/>
        </w:tcBorders>
        <w:shd w:val="clear" w:color="8da9db" w:themeColor="accent5" w:themeTint="9A" w:fill="8da9db" w:themeFill="accent5" w:themeFillTint="9A"/>
      </w:tcPr>
    </w:tblStylePr>
    <w:tblStylePr w:type="band2Horz">
      <w:tcPr>
        <w:tcBorders>
          <w:top w:val="single" w:color="FFFFFF" w:themeColor="light1" w:sz="4" w:space="0"/>
          <w:bottom w:val="single" w:color="FFFFFF" w:themeColor="light1" w:sz="4" w:space="0"/>
        </w:tcBorders>
        <w:shd w:val="clear" w:color="8da9db" w:themeColor="accent5" w:themeTint="9A" w:fill="8da9db" w:themeFill="accent5" w:themeFillTint="9A"/>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tcBorders>
          <w:top w:val="single" w:color="8DA9DB" w:themeColor="accent5" w:themeTint="9A" w:sz="32" w:space="0"/>
          <w:bottom w:val="single" w:color="FFFFFF" w:themeColor="light1" w:sz="12" w:space="0"/>
        </w:tcBorders>
        <w:shd w:val="clear" w:color="8da9db" w:themeColor="accent5" w:themeTint="9A" w:fill="8da9db" w:themeFill="accent5" w:themeFillTint="9A"/>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563" w:customStyle="1">
    <w:name w:val="List Table 5 Dark - Accent 6"/>
    <w:basedOn w:val="1421"/>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564" w:customStyle="1">
    <w:name w:val="Список-таблица 6 цветная1"/>
    <w:basedOn w:val="1421"/>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565" w:customStyle="1">
    <w:name w:val="List Table 6 Colorful - Accent 1"/>
    <w:basedOn w:val="1421"/>
    <w:uiPriority w:val="99"/>
    <w:pPr>
      <w:spacing w:after="0" w:line="240" w:lineRule="auto"/>
    </w:pPr>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566" w:customStyle="1">
    <w:name w:val="List Table 6 Colorful - Accent 2"/>
    <w:basedOn w:val="1421"/>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567" w:customStyle="1">
    <w:name w:val="List Table 6 Colorful - Accent 3"/>
    <w:basedOn w:val="1421"/>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568" w:customStyle="1">
    <w:name w:val="List Table 6 Colorful - Accent 4"/>
    <w:basedOn w:val="1421"/>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569" w:customStyle="1">
    <w:name w:val="List Table 6 Colorful - Accent 5"/>
    <w:basedOn w:val="1421"/>
    <w:uiPriority w:val="99"/>
    <w:pPr>
      <w:spacing w:after="0" w:line="240" w:lineRule="auto"/>
    </w:pPr>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570" w:customStyle="1">
    <w:name w:val="List Table 6 Colorful - Accent 6"/>
    <w:basedOn w:val="1421"/>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571" w:customStyle="1">
    <w:name w:val="Список-таблица 7 цветная1"/>
    <w:basedOn w:val="1421"/>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tcBorders>
          <w:top w:val="none" w:color="000000" w:sz="4" w:space="0"/>
          <w:left w:val="none" w:color="000000" w:sz="4" w:space="0"/>
          <w:bottom w:val="none" w:color="000000" w:sz="4" w:space="0"/>
          <w:right w:val="single" w:color="7F7F7F" w:themeColor="text1" w:themeTint="80" w:sz="4" w:space="0"/>
        </w:tcBorders>
        <w:shd w:val="clear" w:color="ffffff" w:fill="auto"/>
      </w:tcPr>
    </w:tblStylePr>
    <w:tblStylePr w:type="firstRow">
      <w:rPr>
        <w:rFonts w:ascii="Arial" w:hAnsi="Arial"/>
        <w:i/>
        <w:color w:val="7f7f7f" w:themeColor="text1" w:themeTint="80" w:themeShade="95"/>
        <w:sz w:val="22"/>
      </w:rPr>
      <w:tcPr>
        <w:tcBorders>
          <w:top w:val="none" w:color="000000" w:sz="4" w:space="0"/>
          <w:left w:val="none" w:color="000000" w:sz="4" w:space="0"/>
          <w:bottom w:val="single" w:color="7F7F7F" w:themeColor="text1" w:themeTint="80" w:sz="4" w:space="0"/>
          <w:right w:val="none" w:color="000000" w:sz="4" w:space="0"/>
        </w:tcBorders>
        <w:shd w:val="clear" w:color="ffffff" w:themeColor="light1" w:fill="ffffff" w:themeFill="light1"/>
      </w:tcPr>
    </w:tblStylePr>
    <w:tblStylePr w:type="lastCol">
      <w:rPr>
        <w:rFonts w:ascii="Arial" w:hAnsi="Arial"/>
        <w:i/>
        <w:color w:val="7f7f7f" w:themeColor="text1" w:themeTint="80" w:themeShade="95"/>
        <w:sz w:val="22"/>
      </w:rPr>
      <w:tcPr>
        <w:tcBorders>
          <w:top w:val="none" w:color="000000" w:sz="4" w:space="0"/>
          <w:left w:val="single" w:color="7F7F7F" w:themeColor="text1" w:themeTint="80" w:sz="4" w:space="0"/>
          <w:bottom w:val="none" w:color="000000" w:sz="4" w:space="0"/>
          <w:right w:val="none" w:color="000000" w:sz="4" w:space="0"/>
        </w:tcBorders>
        <w:shd w:val="clear" w:color="ffffff" w:fill="auto"/>
      </w:tcPr>
    </w:tblStylePr>
    <w:tblStylePr w:type="lastRow">
      <w:rPr>
        <w:rFonts w:ascii="Arial" w:hAnsi="Arial"/>
        <w:i/>
        <w:color w:val="7f7f7f" w:themeColor="text1" w:themeTint="80" w:themeShade="95"/>
        <w:sz w:val="22"/>
      </w:rPr>
      <w:tcPr>
        <w:tcBorders>
          <w:top w:val="single" w:color="7F7F7F" w:themeColor="tex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2" w:customStyle="1">
    <w:name w:val="List Table 7 Colorful - Accent 1"/>
    <w:basedOn w:val="1421"/>
    <w:uiPriority w:val="99"/>
    <w:pPr>
      <w:spacing w:after="0" w:line="240" w:lineRule="auto"/>
    </w:pPr>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tcBorders>
          <w:top w:val="none" w:color="000000" w:sz="4" w:space="0"/>
          <w:left w:val="none" w:color="000000" w:sz="4" w:space="0"/>
          <w:bottom w:val="none" w:color="000000" w:sz="4" w:space="0"/>
          <w:right w:val="single" w:color="5B9BD5" w:themeColor="accent1" w:sz="4" w:space="0"/>
        </w:tcBorders>
        <w:shd w:val="clear" w:color="ffffff" w:fill="auto"/>
      </w:tcPr>
    </w:tblStylePr>
    <w:tblStylePr w:type="firstRow">
      <w:rPr>
        <w:rFonts w:ascii="Arial" w:hAnsi="Arial"/>
        <w:i/>
        <w:color w:val="245a8d" w:themeColor="accent1" w:themeShade="95"/>
        <w:sz w:val="22"/>
      </w:rPr>
      <w:tcPr>
        <w:tcBorders>
          <w:top w:val="none" w:color="000000" w:sz="4" w:space="0"/>
          <w:left w:val="none" w:color="000000" w:sz="4" w:space="0"/>
          <w:bottom w:val="single" w:color="5B9BD5" w:themeColor="accent1" w:sz="4" w:space="0"/>
          <w:right w:val="none" w:color="000000" w:sz="4" w:space="0"/>
        </w:tcBorders>
        <w:shd w:val="clear" w:color="ffffff" w:themeColor="light1" w:fill="ffffff" w:themeFill="light1"/>
      </w:tcPr>
    </w:tblStylePr>
    <w:tblStylePr w:type="lastCol">
      <w:rPr>
        <w:rFonts w:ascii="Arial" w:hAnsi="Arial"/>
        <w:i/>
        <w:color w:val="245a8d" w:themeColor="accent1" w:themeShade="95"/>
        <w:sz w:val="22"/>
      </w:rPr>
      <w:tcPr>
        <w:tcBorders>
          <w:top w:val="none" w:color="000000" w:sz="4" w:space="0"/>
          <w:left w:val="single" w:color="5B9BD5" w:themeColor="accent1" w:sz="4" w:space="0"/>
          <w:bottom w:val="none" w:color="000000" w:sz="4" w:space="0"/>
          <w:right w:val="none" w:color="000000" w:sz="4" w:space="0"/>
        </w:tcBorders>
        <w:shd w:val="clear" w:color="ffffff" w:fill="auto"/>
      </w:tcPr>
    </w:tblStylePr>
    <w:tblStylePr w:type="lastRow">
      <w:rPr>
        <w:rFonts w:ascii="Arial" w:hAnsi="Arial"/>
        <w:i/>
        <w:color w:val="245a8d" w:themeColor="accent1" w:themeShade="95"/>
        <w:sz w:val="22"/>
      </w:rPr>
      <w:tcPr>
        <w:tcBorders>
          <w:top w:val="single" w:color="5B9BD5" w:themeColor="accent1"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3" w:customStyle="1">
    <w:name w:val="List Table 7 Colorful - Accent 2"/>
    <w:basedOn w:val="1421"/>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tcBorders>
          <w:top w:val="none" w:color="000000" w:sz="4" w:space="0"/>
          <w:left w:val="none" w:color="000000" w:sz="4" w:space="0"/>
          <w:bottom w:val="none" w:color="000000" w:sz="4" w:space="0"/>
          <w:right w:val="single" w:color="F4B184" w:themeColor="accent2" w:themeTint="97" w:sz="4" w:space="0"/>
        </w:tcBorders>
        <w:shd w:val="clear" w:color="ffffff" w:fill="auto"/>
      </w:tcPr>
    </w:tblStylePr>
    <w:tblStylePr w:type="firstRow">
      <w:rPr>
        <w:rFonts w:ascii="Arial" w:hAnsi="Arial"/>
        <w:i/>
        <w:color w:val="f4b184" w:themeColor="accent2" w:themeTint="97" w:themeShade="95"/>
        <w:sz w:val="22"/>
      </w:rPr>
      <w:tcPr>
        <w:tcBorders>
          <w:top w:val="none" w:color="000000" w:sz="4" w:space="0"/>
          <w:left w:val="none" w:color="000000" w:sz="4" w:space="0"/>
          <w:bottom w:val="single" w:color="F4B184" w:themeColor="accent2" w:themeTint="97" w:sz="4" w:space="0"/>
          <w:right w:val="none" w:color="000000" w:sz="4" w:space="0"/>
        </w:tcBorders>
        <w:shd w:val="clear" w:color="ffffff" w:themeColor="light1" w:fill="ffffff" w:themeFill="light1"/>
      </w:tcPr>
    </w:tblStylePr>
    <w:tblStylePr w:type="lastCol">
      <w:rPr>
        <w:rFonts w:ascii="Arial" w:hAnsi="Arial"/>
        <w:i/>
        <w:color w:val="f4b184" w:themeColor="accent2" w:themeTint="97" w:themeShade="95"/>
        <w:sz w:val="22"/>
      </w:rPr>
      <w:tcPr>
        <w:tcBorders>
          <w:top w:val="none" w:color="000000" w:sz="4" w:space="0"/>
          <w:left w:val="single" w:color="F4B184" w:themeColor="accent2" w:themeTint="97" w:sz="4" w:space="0"/>
          <w:bottom w:val="none" w:color="000000" w:sz="4" w:space="0"/>
          <w:right w:val="none" w:color="000000" w:sz="4" w:space="0"/>
        </w:tcBorders>
        <w:shd w:val="clear" w:color="ffffff" w:fill="auto"/>
      </w:tcPr>
    </w:tblStylePr>
    <w:tblStylePr w:type="lastRow">
      <w:rPr>
        <w:rFonts w:ascii="Arial" w:hAnsi="Arial"/>
        <w:i/>
        <w:color w:val="f4b184" w:themeColor="accent2" w:themeTint="97" w:themeShade="95"/>
        <w:sz w:val="22"/>
      </w:rPr>
      <w:tcPr>
        <w:tcBorders>
          <w:top w:val="single" w:color="F4B184" w:themeColor="accent2" w:themeTint="97"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4" w:customStyle="1">
    <w:name w:val="List Table 7 Colorful - Accent 3"/>
    <w:basedOn w:val="1421"/>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tcBorders>
          <w:top w:val="none" w:color="000000" w:sz="4" w:space="0"/>
          <w:left w:val="none" w:color="000000" w:sz="4" w:space="0"/>
          <w:bottom w:val="none" w:color="000000" w:sz="4" w:space="0"/>
          <w:right w:val="single" w:color="C9C9C9" w:themeColor="accent3" w:themeTint="98" w:sz="4" w:space="0"/>
        </w:tcBorders>
        <w:shd w:val="clear" w:color="ffffff" w:fill="auto"/>
      </w:tcPr>
    </w:tblStylePr>
    <w:tblStylePr w:type="firstRow">
      <w:rPr>
        <w:rFonts w:ascii="Arial" w:hAnsi="Arial"/>
        <w:i/>
        <w:color w:val="c9c9c9" w:themeColor="accent3" w:themeTint="98" w:themeShade="95"/>
        <w:sz w:val="22"/>
      </w:rPr>
      <w:tcPr>
        <w:tcBorders>
          <w:top w:val="none" w:color="000000" w:sz="4" w:space="0"/>
          <w:left w:val="none" w:color="000000" w:sz="4" w:space="0"/>
          <w:bottom w:val="single" w:color="C9C9C9" w:themeColor="accent3" w:themeTint="98" w:sz="4" w:space="0"/>
          <w:right w:val="none" w:color="000000" w:sz="4" w:space="0"/>
        </w:tcBorders>
        <w:shd w:val="clear" w:color="ffffff" w:themeColor="light1" w:fill="ffffff" w:themeFill="light1"/>
      </w:tcPr>
    </w:tblStylePr>
    <w:tblStylePr w:type="lastCol">
      <w:rPr>
        <w:rFonts w:ascii="Arial" w:hAnsi="Arial"/>
        <w:i/>
        <w:color w:val="c9c9c9" w:themeColor="accent3" w:themeTint="98" w:themeShade="95"/>
        <w:sz w:val="22"/>
      </w:rPr>
      <w:tcPr>
        <w:tcBorders>
          <w:top w:val="none" w:color="000000" w:sz="4" w:space="0"/>
          <w:left w:val="single" w:color="C9C9C9" w:themeColor="accent3" w:themeTint="98" w:sz="4" w:space="0"/>
          <w:bottom w:val="none" w:color="000000" w:sz="4" w:space="0"/>
          <w:right w:val="none" w:color="000000" w:sz="4" w:space="0"/>
        </w:tcBorders>
        <w:shd w:val="clear" w:color="ffffff" w:fill="auto"/>
      </w:tcPr>
    </w:tblStylePr>
    <w:tblStylePr w:type="lastRow">
      <w:rPr>
        <w:rFonts w:ascii="Arial" w:hAnsi="Arial"/>
        <w:i/>
        <w:color w:val="c9c9c9" w:themeColor="accent3" w:themeTint="98" w:themeShade="95"/>
        <w:sz w:val="22"/>
      </w:rPr>
      <w:tcPr>
        <w:tcBorders>
          <w:top w:val="single" w:color="C9C9C9" w:themeColor="accent3" w:themeTint="98"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5" w:customStyle="1">
    <w:name w:val="List Table 7 Colorful - Accent 4"/>
    <w:basedOn w:val="1421"/>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tcBorders>
          <w:top w:val="none" w:color="000000" w:sz="4" w:space="0"/>
          <w:left w:val="none" w:color="000000" w:sz="4" w:space="0"/>
          <w:bottom w:val="none" w:color="000000" w:sz="4" w:space="0"/>
          <w:right w:val="single" w:color="FFD865" w:themeColor="accent4" w:themeTint="9A" w:sz="4" w:space="0"/>
        </w:tcBorders>
        <w:shd w:val="clear" w:color="ffffff" w:fill="auto"/>
      </w:tcPr>
    </w:tblStylePr>
    <w:tblStylePr w:type="firstRow">
      <w:rPr>
        <w:rFonts w:ascii="Arial" w:hAnsi="Arial"/>
        <w:i/>
        <w:color w:val="ffd865" w:themeColor="accent4" w:themeTint="9A" w:themeShade="95"/>
        <w:sz w:val="22"/>
      </w:rPr>
      <w:tcPr>
        <w:tcBorders>
          <w:top w:val="none" w:color="000000" w:sz="4" w:space="0"/>
          <w:left w:val="none" w:color="000000" w:sz="4" w:space="0"/>
          <w:bottom w:val="single" w:color="FFD865" w:themeColor="accent4" w:themeTint="9A" w:sz="4" w:space="0"/>
          <w:right w:val="none" w:color="000000" w:sz="4" w:space="0"/>
        </w:tcBorders>
        <w:shd w:val="clear" w:color="ffffff" w:themeColor="light1" w:fill="ffffff" w:themeFill="light1"/>
      </w:tcPr>
    </w:tblStylePr>
    <w:tblStylePr w:type="lastCol">
      <w:rPr>
        <w:rFonts w:ascii="Arial" w:hAnsi="Arial"/>
        <w:i/>
        <w:color w:val="ffd865" w:themeColor="accent4" w:themeTint="9A" w:themeShade="95"/>
        <w:sz w:val="22"/>
      </w:rPr>
      <w:tcPr>
        <w:tcBorders>
          <w:top w:val="none" w:color="000000" w:sz="4" w:space="0"/>
          <w:left w:val="single" w:color="FFD865" w:themeColor="accent4" w:themeTint="9A" w:sz="4" w:space="0"/>
          <w:bottom w:val="none" w:color="000000" w:sz="4" w:space="0"/>
          <w:right w:val="none" w:color="000000" w:sz="4" w:space="0"/>
        </w:tcBorders>
        <w:shd w:val="clear" w:color="ffffff" w:fill="auto"/>
      </w:tcPr>
    </w:tblStylePr>
    <w:tblStylePr w:type="lastRow">
      <w:rPr>
        <w:rFonts w:ascii="Arial" w:hAnsi="Arial"/>
        <w:i/>
        <w:color w:val="ffd865" w:themeColor="accent4" w:themeTint="9A" w:themeShade="95"/>
        <w:sz w:val="22"/>
      </w:rPr>
      <w:tcPr>
        <w:tcBorders>
          <w:top w:val="single" w:color="FFD865" w:themeColor="accent4" w:themeTint="9A"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6" w:customStyle="1">
    <w:name w:val="List Table 7 Colorful - Accent 5"/>
    <w:basedOn w:val="1421"/>
    <w:uiPriority w:val="99"/>
    <w:pPr>
      <w:spacing w:after="0" w:line="240" w:lineRule="auto"/>
    </w:pPr>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tcBorders>
          <w:top w:val="none" w:color="000000" w:sz="4" w:space="0"/>
          <w:left w:val="none" w:color="000000" w:sz="4" w:space="0"/>
          <w:bottom w:val="none" w:color="000000" w:sz="4" w:space="0"/>
          <w:right w:val="single" w:color="8DA9DB" w:themeColor="accent5" w:themeTint="9A" w:sz="4" w:space="0"/>
        </w:tcBorders>
        <w:shd w:val="clear" w:color="ffffff" w:fill="auto"/>
      </w:tcPr>
    </w:tblStylePr>
    <w:tblStylePr w:type="firstRow">
      <w:rPr>
        <w:rFonts w:ascii="Arial" w:hAnsi="Arial"/>
        <w:i/>
        <w:color w:val="8da9db" w:themeColor="accent5" w:themeTint="9A" w:themeShade="95"/>
        <w:sz w:val="22"/>
      </w:rPr>
      <w:tcPr>
        <w:tcBorders>
          <w:top w:val="none" w:color="000000" w:sz="4" w:space="0"/>
          <w:left w:val="none" w:color="000000" w:sz="4" w:space="0"/>
          <w:bottom w:val="single" w:color="8DA9DB" w:themeColor="accent5" w:themeTint="9A" w:sz="4" w:space="0"/>
          <w:right w:val="none" w:color="000000" w:sz="4" w:space="0"/>
        </w:tcBorders>
        <w:shd w:val="clear" w:color="ffffff" w:themeColor="light1" w:fill="ffffff" w:themeFill="light1"/>
      </w:tcPr>
    </w:tblStylePr>
    <w:tblStylePr w:type="lastCol">
      <w:rPr>
        <w:rFonts w:ascii="Arial" w:hAnsi="Arial"/>
        <w:i/>
        <w:color w:val="8da9db" w:themeColor="accent5" w:themeTint="9A" w:themeShade="95"/>
        <w:sz w:val="22"/>
      </w:rPr>
      <w:tcPr>
        <w:tcBorders>
          <w:top w:val="none" w:color="000000" w:sz="4" w:space="0"/>
          <w:left w:val="single" w:color="8DA9DB" w:themeColor="accent5" w:themeTint="9A" w:sz="4" w:space="0"/>
          <w:bottom w:val="none" w:color="000000" w:sz="4" w:space="0"/>
          <w:right w:val="none" w:color="000000" w:sz="4" w:space="0"/>
        </w:tcBorders>
        <w:shd w:val="clear" w:color="ffffff" w:fill="auto"/>
      </w:tcPr>
    </w:tblStylePr>
    <w:tblStylePr w:type="lastRow">
      <w:rPr>
        <w:rFonts w:ascii="Arial" w:hAnsi="Arial"/>
        <w:i/>
        <w:color w:val="8da9db" w:themeColor="accent5" w:themeTint="9A" w:themeShade="95"/>
        <w:sz w:val="22"/>
      </w:rPr>
      <w:tcPr>
        <w:tcBorders>
          <w:top w:val="single" w:color="8DA9DB" w:themeColor="accent5" w:themeTint="9A"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7" w:customStyle="1">
    <w:name w:val="List Table 7 Colorful - Accent 6"/>
    <w:basedOn w:val="1421"/>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tcBorders>
          <w:top w:val="none" w:color="000000" w:sz="4" w:space="0"/>
          <w:left w:val="none" w:color="000000" w:sz="4" w:space="0"/>
          <w:bottom w:val="none" w:color="000000" w:sz="4" w:space="0"/>
          <w:right w:val="single" w:color="A9D08E" w:themeColor="accent6" w:themeTint="98" w:sz="4" w:space="0"/>
        </w:tcBorders>
        <w:shd w:val="clear" w:color="ffffff" w:fill="auto"/>
      </w:tcPr>
    </w:tblStylePr>
    <w:tblStylePr w:type="firstRow">
      <w:rPr>
        <w:rFonts w:ascii="Arial" w:hAnsi="Arial"/>
        <w:i/>
        <w:color w:val="a9d08e" w:themeColor="accent6" w:themeTint="98" w:themeShade="95"/>
        <w:sz w:val="22"/>
      </w:rPr>
      <w:tcPr>
        <w:tcBorders>
          <w:top w:val="none" w:color="000000" w:sz="4" w:space="0"/>
          <w:left w:val="none" w:color="000000" w:sz="4" w:space="0"/>
          <w:bottom w:val="single" w:color="A9D08E" w:themeColor="accent6" w:themeTint="98" w:sz="4" w:space="0"/>
          <w:right w:val="none" w:color="000000" w:sz="4" w:space="0"/>
        </w:tcBorders>
        <w:shd w:val="clear" w:color="ffffff" w:themeColor="light1" w:fill="ffffff" w:themeFill="light1"/>
      </w:tcPr>
    </w:tblStylePr>
    <w:tblStylePr w:type="lastCol">
      <w:rPr>
        <w:rFonts w:ascii="Arial" w:hAnsi="Arial"/>
        <w:i/>
        <w:color w:val="a9d08e" w:themeColor="accent6" w:themeTint="98" w:themeShade="95"/>
        <w:sz w:val="22"/>
      </w:rPr>
      <w:tcPr>
        <w:tcBorders>
          <w:top w:val="none" w:color="000000" w:sz="4" w:space="0"/>
          <w:left w:val="single" w:color="A9D08E" w:themeColor="accent6" w:themeTint="98" w:sz="4" w:space="0"/>
          <w:bottom w:val="none" w:color="000000" w:sz="4" w:space="0"/>
          <w:right w:val="none" w:color="000000" w:sz="4" w:space="0"/>
        </w:tcBorders>
        <w:shd w:val="clear" w:color="ffffff" w:fill="auto"/>
      </w:tcPr>
    </w:tblStylePr>
    <w:tblStylePr w:type="lastRow">
      <w:rPr>
        <w:rFonts w:ascii="Arial" w:hAnsi="Arial"/>
        <w:i/>
        <w:color w:val="a9d08e" w:themeColor="accent6" w:themeTint="98" w:themeShade="95"/>
        <w:sz w:val="22"/>
      </w:rPr>
      <w:tcPr>
        <w:tcBorders>
          <w:top w:val="single" w:color="A9D08E" w:themeColor="accent6" w:themeTint="98" w:sz="4" w:space="0"/>
          <w:left w:val="none" w:color="000000" w:sz="4" w:space="0"/>
          <w:bottom w:val="none" w:color="000000" w:sz="4" w:space="0"/>
          <w:right w:val="none" w:color="000000" w:sz="4" w:space="0"/>
        </w:tcBorders>
        <w:shd w:val="clear" w:color="ffffff" w:themeColor="light1" w:fill="ffffff" w:themeFill="light1"/>
      </w:tcPr>
    </w:tblStylePr>
  </w:style>
  <w:style w:type="table" w:styleId="1578" w:customStyle="1">
    <w:name w:val="Lined - Accent"/>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79" w:customStyle="1">
    <w:name w:val="Lined - Accent 1"/>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580" w:customStyle="1">
    <w:name w:val="Lined - Accent 2"/>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81" w:customStyle="1">
    <w:name w:val="Lined - Accent 3"/>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82" w:customStyle="1">
    <w:name w:val="Lined - Accent 4"/>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83" w:customStyle="1">
    <w:name w:val="Lined - Accent 5"/>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584" w:customStyle="1">
    <w:name w:val="Lined - Accent 6"/>
    <w:basedOn w:val="142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85" w:customStyle="1">
    <w:name w:val="Bordered &amp; Lined - Accent"/>
    <w:basedOn w:val="1421"/>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86" w:customStyle="1">
    <w:name w:val="Bordered &amp; Lined - Accent 1"/>
    <w:basedOn w:val="1421"/>
    <w:uiPriority w:val="99"/>
    <w:pPr>
      <w:spacing w:after="0" w:line="240" w:lineRule="auto"/>
    </w:pPr>
    <w:rPr>
      <w:color w:val="404040"/>
      <w:sz w:val="20"/>
      <w:szCs w:val="20"/>
      <w:lang w:eastAsia="ru-RU"/>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587" w:customStyle="1">
    <w:name w:val="Bordered &amp; Lined - Accent 2"/>
    <w:basedOn w:val="1421"/>
    <w:uiPriority w:val="99"/>
    <w:pPr>
      <w:spacing w:after="0" w:line="240" w:lineRule="auto"/>
    </w:pPr>
    <w:rPr>
      <w:color w:val="404040"/>
      <w:sz w:val="20"/>
      <w:szCs w:val="20"/>
      <w:lang w:eastAsia="ru-RU"/>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88" w:customStyle="1">
    <w:name w:val="Bordered &amp; Lined - Accent 3"/>
    <w:basedOn w:val="1421"/>
    <w:uiPriority w:val="99"/>
    <w:pPr>
      <w:spacing w:after="0" w:line="240" w:lineRule="auto"/>
    </w:pPr>
    <w:rPr>
      <w:color w:val="404040"/>
      <w:sz w:val="20"/>
      <w:szCs w:val="20"/>
      <w:lang w:eastAsia="ru-RU"/>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89" w:customStyle="1">
    <w:name w:val="Bordered &amp; Lined - Accent 4"/>
    <w:basedOn w:val="1421"/>
    <w:uiPriority w:val="99"/>
    <w:pPr>
      <w:spacing w:after="0" w:line="240" w:lineRule="auto"/>
    </w:pPr>
    <w:rPr>
      <w:color w:val="404040"/>
      <w:sz w:val="20"/>
      <w:szCs w:val="20"/>
      <w:lang w:eastAsia="ru-RU"/>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90" w:customStyle="1">
    <w:name w:val="Bordered &amp; Lined - Accent 5"/>
    <w:basedOn w:val="1421"/>
    <w:uiPriority w:val="99"/>
    <w:pPr>
      <w:spacing w:after="0" w:line="240" w:lineRule="auto"/>
    </w:pPr>
    <w:rPr>
      <w:color w:val="404040"/>
      <w:sz w:val="20"/>
      <w:szCs w:val="20"/>
      <w:lang w:eastAsia="ru-RU"/>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591" w:customStyle="1">
    <w:name w:val="Bordered &amp; Lined - Accent 6"/>
    <w:basedOn w:val="1421"/>
    <w:uiPriority w:val="99"/>
    <w:pPr>
      <w:spacing w:after="0" w:line="240" w:lineRule="auto"/>
    </w:pPr>
    <w:rPr>
      <w:color w:val="404040"/>
      <w:sz w:val="20"/>
      <w:szCs w:val="20"/>
      <w:lang w:eastAsia="ru-RU"/>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92" w:customStyle="1">
    <w:name w:val="Bordered"/>
    <w:basedOn w:val="1421"/>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593" w:customStyle="1">
    <w:name w:val="Bordered - Accent 1"/>
    <w:basedOn w:val="1421"/>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594" w:customStyle="1">
    <w:name w:val="Bordered - Accent 2"/>
    <w:basedOn w:val="1421"/>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595" w:customStyle="1">
    <w:name w:val="Bordered - Accent 3"/>
    <w:basedOn w:val="1421"/>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596" w:customStyle="1">
    <w:name w:val="Bordered - Accent 4"/>
    <w:basedOn w:val="1421"/>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597" w:customStyle="1">
    <w:name w:val="Bordered - Accent 5"/>
    <w:basedOn w:val="1421"/>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598" w:customStyle="1">
    <w:name w:val="Bordered - Accent 6"/>
    <w:basedOn w:val="1421"/>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1599" w:customStyle="1">
    <w:name w:val="Footnote Text Char"/>
    <w:uiPriority w:val="99"/>
    <w:rPr>
      <w:sz w:val="18"/>
    </w:rPr>
  </w:style>
  <w:style w:type="character" w:styleId="1600" w:customStyle="1">
    <w:name w:val="Endnote Text Char"/>
    <w:uiPriority w:val="99"/>
    <w:rPr>
      <w:sz w:val="20"/>
    </w:rPr>
  </w:style>
  <w:style w:type="paragraph" w:styleId="1601">
    <w:name w:val="toc 1"/>
    <w:basedOn w:val="1410"/>
    <w:next w:val="1410"/>
    <w:uiPriority w:val="39"/>
    <w:unhideWhenUsed/>
    <w:pPr>
      <w:spacing w:after="57"/>
      <w:ind w:firstLine="0"/>
    </w:pPr>
  </w:style>
  <w:style w:type="paragraph" w:styleId="1602">
    <w:name w:val="toc 2"/>
    <w:basedOn w:val="1410"/>
    <w:next w:val="1410"/>
    <w:uiPriority w:val="39"/>
    <w:unhideWhenUsed/>
    <w:pPr>
      <w:spacing w:after="57"/>
      <w:ind w:left="283" w:firstLine="0"/>
    </w:pPr>
  </w:style>
  <w:style w:type="paragraph" w:styleId="1603">
    <w:name w:val="toc 3"/>
    <w:basedOn w:val="1410"/>
    <w:next w:val="1410"/>
    <w:uiPriority w:val="39"/>
    <w:unhideWhenUsed/>
    <w:pPr>
      <w:spacing w:after="57"/>
      <w:ind w:left="567" w:firstLine="0"/>
    </w:pPr>
  </w:style>
  <w:style w:type="paragraph" w:styleId="1604">
    <w:name w:val="toc 4"/>
    <w:basedOn w:val="1410"/>
    <w:next w:val="1410"/>
    <w:uiPriority w:val="39"/>
    <w:unhideWhenUsed/>
    <w:pPr>
      <w:spacing w:after="57"/>
      <w:ind w:left="850" w:firstLine="0"/>
    </w:pPr>
  </w:style>
  <w:style w:type="paragraph" w:styleId="1605">
    <w:name w:val="toc 5"/>
    <w:basedOn w:val="1410"/>
    <w:next w:val="1410"/>
    <w:uiPriority w:val="39"/>
    <w:unhideWhenUsed/>
    <w:pPr>
      <w:spacing w:after="57"/>
      <w:ind w:left="1134" w:firstLine="0"/>
    </w:pPr>
  </w:style>
  <w:style w:type="paragraph" w:styleId="1606">
    <w:name w:val="toc 6"/>
    <w:basedOn w:val="1410"/>
    <w:next w:val="1410"/>
    <w:uiPriority w:val="39"/>
    <w:unhideWhenUsed/>
    <w:pPr>
      <w:spacing w:after="57"/>
      <w:ind w:left="1417" w:firstLine="0"/>
    </w:pPr>
  </w:style>
  <w:style w:type="paragraph" w:styleId="1607">
    <w:name w:val="toc 7"/>
    <w:basedOn w:val="1410"/>
    <w:next w:val="1410"/>
    <w:uiPriority w:val="39"/>
    <w:unhideWhenUsed/>
    <w:pPr>
      <w:spacing w:after="57"/>
      <w:ind w:left="1701" w:firstLine="0"/>
    </w:pPr>
  </w:style>
  <w:style w:type="paragraph" w:styleId="1608">
    <w:name w:val="toc 8"/>
    <w:basedOn w:val="1410"/>
    <w:next w:val="1410"/>
    <w:uiPriority w:val="39"/>
    <w:unhideWhenUsed/>
    <w:pPr>
      <w:spacing w:after="57"/>
      <w:ind w:left="1984" w:firstLine="0"/>
    </w:pPr>
  </w:style>
  <w:style w:type="paragraph" w:styleId="1609">
    <w:name w:val="toc 9"/>
    <w:basedOn w:val="1410"/>
    <w:next w:val="1410"/>
    <w:uiPriority w:val="39"/>
    <w:unhideWhenUsed/>
    <w:pPr>
      <w:spacing w:after="57"/>
      <w:ind w:left="2268" w:firstLine="0"/>
    </w:pPr>
  </w:style>
  <w:style w:type="paragraph" w:styleId="1610">
    <w:name w:val="TOC Heading"/>
    <w:uiPriority w:val="39"/>
    <w:unhideWhenUsed/>
  </w:style>
  <w:style w:type="paragraph" w:styleId="1611">
    <w:name w:val="table of figures"/>
    <w:basedOn w:val="1410"/>
    <w:next w:val="1410"/>
    <w:uiPriority w:val="99"/>
    <w:unhideWhenUsed/>
  </w:style>
  <w:style w:type="paragraph" w:styleId="1612" w:customStyle="1">
    <w:name w:val="ConsPlusNormal"/>
    <w:qFormat/>
    <w:pPr>
      <w:widowControl w:val="off"/>
      <w:spacing w:after="0" w:line="240" w:lineRule="auto"/>
      <w:ind w:firstLine="720"/>
    </w:pPr>
    <w:rPr>
      <w:rFonts w:ascii="Arial" w:hAnsi="Arial" w:eastAsia="Times New Roman" w:cs="Arial"/>
      <w:sz w:val="20"/>
      <w:szCs w:val="20"/>
      <w:lang w:eastAsia="ru-RU"/>
    </w:rPr>
  </w:style>
  <w:style w:type="character" w:styleId="1613" w:customStyle="1">
    <w:name w:val="Заголовок 1 Знак"/>
    <w:basedOn w:val="1420"/>
    <w:link w:val="1411"/>
    <w:uiPriority w:val="99"/>
    <w:rPr>
      <w:rFonts w:ascii="Cambria" w:hAnsi="Cambria" w:eastAsia="Times New Roman" w:cs="Times New Roman"/>
      <w:b/>
      <w:bCs/>
      <w:sz w:val="28"/>
      <w:szCs w:val="28"/>
      <w:lang w:eastAsia="ru-RU"/>
    </w:rPr>
  </w:style>
  <w:style w:type="table" w:styleId="1614">
    <w:name w:val="Table Grid"/>
    <w:basedOn w:val="142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15">
    <w:name w:val="List Paragraph"/>
    <w:basedOn w:val="1410"/>
    <w:link w:val="1620"/>
    <w:uiPriority w:val="34"/>
    <w:qFormat/>
    <w:pPr>
      <w:ind w:left="720"/>
      <w:contextualSpacing/>
    </w:pPr>
  </w:style>
  <w:style w:type="paragraph" w:styleId="1616">
    <w:name w:val="footnote text"/>
    <w:basedOn w:val="1410"/>
    <w:link w:val="1617"/>
    <w:uiPriority w:val="99"/>
    <w:unhideWhenUsed/>
    <w:qFormat/>
    <w:pPr>
      <w:spacing w:line="240" w:lineRule="auto"/>
      <w:ind w:firstLine="0"/>
      <w:jc w:val="left"/>
    </w:pPr>
    <w:rPr>
      <w:rFonts w:ascii="Calibri" w:hAnsi="Calibri"/>
      <w:sz w:val="20"/>
      <w:szCs w:val="20"/>
    </w:rPr>
  </w:style>
  <w:style w:type="character" w:styleId="1617" w:customStyle="1">
    <w:name w:val="Текст сноски Знак"/>
    <w:basedOn w:val="1420"/>
    <w:link w:val="1616"/>
    <w:uiPriority w:val="99"/>
    <w:rPr>
      <w:rFonts w:ascii="Calibri" w:hAnsi="Calibri" w:eastAsia="Times New Roman" w:cs="Times New Roman"/>
      <w:sz w:val="20"/>
      <w:szCs w:val="20"/>
      <w:lang w:eastAsia="ru-RU"/>
    </w:rPr>
  </w:style>
  <w:style w:type="character" w:styleId="1618">
    <w:name w:val="footnote reference"/>
    <w:uiPriority w:val="99"/>
    <w:qFormat/>
    <w:rPr>
      <w:vertAlign w:val="superscript"/>
    </w:rPr>
  </w:style>
  <w:style w:type="character" w:styleId="1619">
    <w:name w:val="Emphasis"/>
    <w:uiPriority w:val="20"/>
    <w:qFormat/>
    <w:rPr>
      <w:rFonts w:cs="Times New Roman"/>
      <w:i/>
    </w:rPr>
  </w:style>
  <w:style w:type="character" w:styleId="1620" w:customStyle="1">
    <w:name w:val="Абзац списка Знак"/>
    <w:link w:val="1615"/>
    <w:uiPriority w:val="34"/>
    <w:rPr>
      <w:rFonts w:ascii="Times New Roman" w:hAnsi="Times New Roman" w:eastAsia="Times New Roman" w:cs="Times New Roman"/>
      <w:sz w:val="28"/>
      <w:szCs w:val="28"/>
      <w:lang w:eastAsia="ru-RU"/>
    </w:rPr>
  </w:style>
  <w:style w:type="character" w:styleId="1621">
    <w:name w:val="HTML Typewriter"/>
    <w:basedOn w:val="1420"/>
    <w:uiPriority w:val="99"/>
    <w:rPr>
      <w:rFonts w:ascii="Courier New" w:hAnsi="Courier New" w:cs="Times New Roman"/>
      <w:sz w:val="20"/>
    </w:rPr>
  </w:style>
  <w:style w:type="paragraph" w:styleId="1622">
    <w:name w:val="Body Text"/>
    <w:basedOn w:val="1410"/>
    <w:link w:val="1623"/>
    <w:uiPriority w:val="99"/>
    <w:pPr>
      <w:spacing w:after="120" w:line="240" w:lineRule="auto"/>
      <w:ind w:firstLine="0"/>
      <w:jc w:val="left"/>
    </w:pPr>
    <w:rPr>
      <w:sz w:val="24"/>
      <w:szCs w:val="24"/>
    </w:rPr>
  </w:style>
  <w:style w:type="character" w:styleId="1623" w:customStyle="1">
    <w:name w:val="Основной текст Знак"/>
    <w:basedOn w:val="1420"/>
    <w:link w:val="1622"/>
    <w:uiPriority w:val="99"/>
    <w:rPr>
      <w:rFonts w:ascii="Times New Roman" w:hAnsi="Times New Roman" w:eastAsia="Times New Roman" w:cs="Times New Roman"/>
      <w:sz w:val="24"/>
      <w:szCs w:val="24"/>
      <w:lang w:eastAsia="ru-RU"/>
    </w:rPr>
  </w:style>
  <w:style w:type="paragraph" w:styleId="1624">
    <w:name w:val="Body Text First Indent"/>
    <w:basedOn w:val="1622"/>
    <w:link w:val="1625"/>
    <w:uiPriority w:val="99"/>
    <w:pPr>
      <w:ind w:firstLine="210"/>
    </w:pPr>
  </w:style>
  <w:style w:type="character" w:styleId="1625" w:customStyle="1">
    <w:name w:val="Красная строка Знак"/>
    <w:basedOn w:val="1623"/>
    <w:link w:val="1624"/>
    <w:uiPriority w:val="99"/>
    <w:rPr>
      <w:rFonts w:ascii="Times New Roman" w:hAnsi="Times New Roman" w:eastAsia="Times New Roman" w:cs="Times New Roman"/>
      <w:sz w:val="24"/>
      <w:szCs w:val="24"/>
      <w:lang w:eastAsia="ru-RU"/>
    </w:rPr>
  </w:style>
  <w:style w:type="character" w:styleId="1626" w:customStyle="1">
    <w:name w:val="Font Style13"/>
    <w:rPr>
      <w:rFonts w:ascii="Times New Roman" w:hAnsi="Times New Roman"/>
      <w:sz w:val="26"/>
    </w:rPr>
  </w:style>
  <w:style w:type="paragraph" w:styleId="1627" w:customStyle="1">
    <w:name w:val="Основной текст2"/>
    <w:basedOn w:val="1410"/>
    <w:link w:val="1631"/>
    <w:pPr>
      <w:shd w:val="clear" w:color="auto" w:fill="ffffff"/>
      <w:spacing w:after="300" w:line="374" w:lineRule="exact"/>
      <w:ind w:firstLine="0"/>
      <w:jc w:val="right"/>
    </w:pPr>
    <w:rPr>
      <w:sz w:val="26"/>
      <w:szCs w:val="26"/>
    </w:rPr>
  </w:style>
  <w:style w:type="paragraph" w:styleId="1628">
    <w:name w:val="Balloon Text"/>
    <w:basedOn w:val="1410"/>
    <w:link w:val="1629"/>
    <w:uiPriority w:val="99"/>
    <w:pPr>
      <w:spacing w:line="240" w:lineRule="auto"/>
      <w:ind w:firstLine="0"/>
      <w:jc w:val="left"/>
    </w:pPr>
    <w:rPr>
      <w:rFonts w:ascii="Segoe UI" w:hAnsi="Segoe UI"/>
      <w:sz w:val="18"/>
      <w:szCs w:val="18"/>
    </w:rPr>
  </w:style>
  <w:style w:type="character" w:styleId="1629" w:customStyle="1">
    <w:name w:val="Текст выноски Знак"/>
    <w:basedOn w:val="1420"/>
    <w:link w:val="1628"/>
    <w:uiPriority w:val="99"/>
    <w:rPr>
      <w:rFonts w:ascii="Segoe UI" w:hAnsi="Segoe UI" w:eastAsia="Times New Roman" w:cs="Times New Roman"/>
      <w:sz w:val="18"/>
      <w:szCs w:val="18"/>
    </w:rPr>
  </w:style>
  <w:style w:type="paragraph" w:styleId="1630" w:customStyle="1">
    <w:name w:val="Прижатый влево"/>
    <w:basedOn w:val="1410"/>
    <w:next w:val="1410"/>
    <w:pPr>
      <w:spacing w:line="240" w:lineRule="auto"/>
      <w:ind w:firstLine="0"/>
      <w:jc w:val="left"/>
    </w:pPr>
    <w:rPr>
      <w:rFonts w:ascii="Arial" w:hAnsi="Arial"/>
      <w:sz w:val="24"/>
      <w:szCs w:val="24"/>
    </w:rPr>
  </w:style>
  <w:style w:type="character" w:styleId="1631" w:customStyle="1">
    <w:name w:val="Основной текст_"/>
    <w:link w:val="1627"/>
    <w:rPr>
      <w:rFonts w:ascii="Times New Roman" w:hAnsi="Times New Roman" w:eastAsia="Times New Roman" w:cs="Times New Roman"/>
      <w:sz w:val="26"/>
      <w:szCs w:val="26"/>
      <w:shd w:val="clear" w:color="auto" w:fill="ffffff"/>
    </w:rPr>
  </w:style>
  <w:style w:type="character" w:styleId="1632" w:customStyle="1">
    <w:name w:val="Font Style17"/>
    <w:uiPriority w:val="99"/>
    <w:rPr>
      <w:rFonts w:ascii="Times New Roman" w:hAnsi="Times New Roman" w:cs="Times New Roman"/>
      <w:color w:val="000000"/>
      <w:sz w:val="24"/>
      <w:szCs w:val="24"/>
    </w:rPr>
  </w:style>
  <w:style w:type="paragraph" w:styleId="1633">
    <w:name w:val="endnote text"/>
    <w:basedOn w:val="1410"/>
    <w:link w:val="1634"/>
    <w:uiPriority w:val="99"/>
    <w:pPr>
      <w:spacing w:line="240" w:lineRule="auto"/>
      <w:ind w:firstLine="0"/>
      <w:jc w:val="left"/>
    </w:pPr>
    <w:rPr>
      <w:sz w:val="20"/>
      <w:szCs w:val="20"/>
    </w:rPr>
  </w:style>
  <w:style w:type="character" w:styleId="1634" w:customStyle="1">
    <w:name w:val="Текст концевой сноски Знак"/>
    <w:basedOn w:val="1420"/>
    <w:link w:val="1633"/>
    <w:uiPriority w:val="99"/>
    <w:rPr>
      <w:rFonts w:ascii="Times New Roman" w:hAnsi="Times New Roman" w:eastAsia="Times New Roman" w:cs="Times New Roman"/>
      <w:sz w:val="20"/>
      <w:szCs w:val="20"/>
      <w:lang w:eastAsia="ru-RU"/>
    </w:rPr>
  </w:style>
  <w:style w:type="character" w:styleId="1635">
    <w:name w:val="endnote reference"/>
    <w:uiPriority w:val="99"/>
    <w:rPr>
      <w:vertAlign w:val="superscript"/>
    </w:rPr>
  </w:style>
  <w:style w:type="character" w:styleId="1636">
    <w:name w:val="Intense Emphasis"/>
    <w:uiPriority w:val="21"/>
    <w:qFormat/>
    <w:rPr>
      <w:i/>
      <w:iCs/>
      <w:color w:val="5b9bd5"/>
    </w:rPr>
  </w:style>
  <w:style w:type="character" w:styleId="1637" w:customStyle="1">
    <w:name w:val="Основной текст (6)_"/>
    <w:link w:val="1638"/>
    <w:rPr>
      <w:spacing w:val="-4"/>
      <w:sz w:val="23"/>
      <w:szCs w:val="23"/>
      <w:shd w:val="clear" w:color="auto" w:fill="ffffff"/>
    </w:rPr>
  </w:style>
  <w:style w:type="paragraph" w:styleId="1638" w:customStyle="1">
    <w:name w:val="Основной текст (6)"/>
    <w:basedOn w:val="1410"/>
    <w:link w:val="1637"/>
    <w:pPr>
      <w:widowControl w:val="off"/>
      <w:shd w:val="clear" w:color="auto" w:fill="ffffff"/>
      <w:spacing w:line="0" w:lineRule="atLeast"/>
      <w:ind w:firstLine="0"/>
      <w:jc w:val="center"/>
    </w:pPr>
    <w:rPr>
      <w:rFonts w:asciiTheme="minorHAnsi" w:hAnsiTheme="minorHAnsi" w:eastAsiaTheme="minorHAnsi" w:cstheme="minorBidi"/>
      <w:spacing w:val="-4"/>
      <w:sz w:val="23"/>
      <w:szCs w:val="23"/>
      <w:lang w:eastAsia="en-US"/>
    </w:rPr>
  </w:style>
  <w:style w:type="paragraph" w:styleId="1639">
    <w:name w:val="Header"/>
    <w:basedOn w:val="1410"/>
    <w:link w:val="1640"/>
    <w:unhideWhenUsed/>
    <w:qFormat/>
    <w:pPr>
      <w:tabs>
        <w:tab w:val="center" w:pos="4677" w:leader="none"/>
        <w:tab w:val="right" w:pos="9355" w:leader="none"/>
      </w:tabs>
      <w:spacing w:line="240" w:lineRule="auto"/>
    </w:pPr>
  </w:style>
  <w:style w:type="character" w:styleId="1640" w:customStyle="1">
    <w:name w:val="Верхний колонтитул Знак"/>
    <w:basedOn w:val="1420"/>
    <w:link w:val="1639"/>
    <w:uiPriority w:val="99"/>
    <w:rPr>
      <w:rFonts w:ascii="Times New Roman" w:hAnsi="Times New Roman" w:eastAsia="Times New Roman" w:cs="Times New Roman"/>
      <w:sz w:val="28"/>
      <w:szCs w:val="28"/>
      <w:lang w:eastAsia="ru-RU"/>
    </w:rPr>
  </w:style>
  <w:style w:type="paragraph" w:styleId="1641">
    <w:name w:val="Footer"/>
    <w:basedOn w:val="1410"/>
    <w:link w:val="1642"/>
    <w:uiPriority w:val="99"/>
    <w:unhideWhenUsed/>
    <w:pPr>
      <w:tabs>
        <w:tab w:val="center" w:pos="4677" w:leader="none"/>
        <w:tab w:val="right" w:pos="9355" w:leader="none"/>
      </w:tabs>
      <w:spacing w:line="240" w:lineRule="auto"/>
    </w:pPr>
  </w:style>
  <w:style w:type="character" w:styleId="1642" w:customStyle="1">
    <w:name w:val="Нижний колонтитул Знак"/>
    <w:basedOn w:val="1420"/>
    <w:link w:val="1641"/>
    <w:uiPriority w:val="99"/>
    <w:rPr>
      <w:rFonts w:ascii="Times New Roman" w:hAnsi="Times New Roman" w:eastAsia="Times New Roman" w:cs="Times New Roman"/>
      <w:sz w:val="28"/>
      <w:szCs w:val="28"/>
      <w:lang w:eastAsia="ru-RU"/>
    </w:rPr>
  </w:style>
  <w:style w:type="character" w:styleId="1643" w:customStyle="1">
    <w:name w:val="Сноска_"/>
    <w:basedOn w:val="1420"/>
    <w:link w:val="1644"/>
    <w:rPr>
      <w:rFonts w:ascii="Times New Roman" w:hAnsi="Times New Roman" w:eastAsia="Times New Roman"/>
      <w:b/>
      <w:bCs/>
      <w:sz w:val="18"/>
      <w:szCs w:val="18"/>
      <w:shd w:val="clear" w:color="auto" w:fill="ffffff"/>
    </w:rPr>
  </w:style>
  <w:style w:type="paragraph" w:styleId="1644" w:customStyle="1">
    <w:name w:val="Сноска"/>
    <w:basedOn w:val="1410"/>
    <w:link w:val="1643"/>
    <w:pPr>
      <w:widowControl w:val="off"/>
      <w:shd w:val="clear" w:color="auto" w:fill="ffffff"/>
      <w:spacing w:line="230" w:lineRule="exact"/>
      <w:ind w:firstLine="0"/>
    </w:pPr>
    <w:rPr>
      <w:rFonts w:cstheme="minorBidi"/>
      <w:b/>
      <w:bCs/>
      <w:sz w:val="18"/>
      <w:szCs w:val="18"/>
      <w:lang w:eastAsia="en-US"/>
    </w:rPr>
  </w:style>
  <w:style w:type="paragraph" w:styleId="1645"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646">
    <w:name w:val="No Spacing"/>
    <w:link w:val="1649"/>
    <w:uiPriority w:val="1"/>
    <w:qFormat/>
    <w:pPr>
      <w:spacing w:after="0" w:line="240" w:lineRule="auto"/>
    </w:pPr>
    <w:rPr>
      <w:rFonts w:ascii="Calibri" w:hAnsi="Calibri" w:eastAsia="Times New Roman" w:cs="Calibri"/>
      <w:lang w:eastAsia="ru-RU"/>
    </w:rPr>
  </w:style>
  <w:style w:type="character" w:styleId="1647" w:customStyle="1">
    <w:name w:val="Font Style16"/>
    <w:uiPriority w:val="99"/>
    <w:rPr>
      <w:rFonts w:ascii="Times New Roman" w:hAnsi="Times New Roman" w:cs="Times New Roman"/>
      <w:sz w:val="26"/>
      <w:szCs w:val="26"/>
    </w:rPr>
  </w:style>
  <w:style w:type="paragraph" w:styleId="1648" w:customStyle="1">
    <w:name w:val="ConsPlusTitle"/>
    <w:qFormat/>
    <w:pPr>
      <w:spacing w:after="0" w:line="240" w:lineRule="auto"/>
    </w:pPr>
    <w:rPr>
      <w:rFonts w:ascii="Times New Roman" w:hAnsi="Times New Roman" w:eastAsia="Times New Roman" w:cs="Times New Roman"/>
      <w:b/>
      <w:bCs/>
      <w:sz w:val="28"/>
      <w:szCs w:val="28"/>
    </w:rPr>
  </w:style>
  <w:style w:type="character" w:styleId="1649" w:customStyle="1">
    <w:name w:val="Без интервала Знак"/>
    <w:basedOn w:val="1420"/>
    <w:link w:val="1646"/>
    <w:uiPriority w:val="1"/>
    <w:rPr>
      <w:rFonts w:ascii="Calibri" w:hAnsi="Calibri" w:eastAsia="Times New Roman" w:cs="Calibri"/>
      <w:lang w:eastAsia="ru-RU"/>
    </w:rPr>
  </w:style>
  <w:style w:type="paragraph" w:styleId="1650">
    <w:name w:val="Normal (Web)"/>
    <w:basedOn w:val="1410"/>
    <w:link w:val="1651"/>
    <w:uiPriority w:val="99"/>
    <w:pPr>
      <w:spacing w:beforeAutospacing="1" w:after="200" w:afterAutospacing="1" w:line="240" w:lineRule="auto"/>
      <w:ind w:firstLine="0"/>
      <w:jc w:val="left"/>
    </w:pPr>
    <w:rPr>
      <w:color w:val="000000"/>
      <w:sz w:val="24"/>
      <w:szCs w:val="20"/>
    </w:rPr>
  </w:style>
  <w:style w:type="character" w:styleId="1651" w:customStyle="1">
    <w:name w:val="Обычный (веб) Знак"/>
    <w:link w:val="1650"/>
    <w:uiPriority w:val="99"/>
    <w:rPr>
      <w:rFonts w:ascii="Times New Roman" w:hAnsi="Times New Roman" w:eastAsia="Times New Roman" w:cs="Times New Roman"/>
      <w:color w:val="000000"/>
      <w:sz w:val="24"/>
      <w:szCs w:val="20"/>
      <w:lang w:eastAsia="ru-RU"/>
    </w:rPr>
  </w:style>
  <w:style w:type="character" w:styleId="1652">
    <w:name w:val="Hyperlink"/>
    <w:uiPriority w:val="99"/>
    <w:rPr>
      <w:rFonts w:cs="Times New Roman"/>
      <w:color w:val="0000ff"/>
      <w:u w:val="single"/>
    </w:rPr>
  </w:style>
  <w:style w:type="numbering" w:styleId="1653" w:customStyle="1">
    <w:name w:val="Нет списка1"/>
    <w:next w:val="1422"/>
    <w:uiPriority w:val="99"/>
    <w:semiHidden/>
    <w:unhideWhenUsed/>
  </w:style>
  <w:style w:type="table" w:styleId="1654" w:customStyle="1">
    <w:name w:val="Сетка таблицы1"/>
    <w:basedOn w:val="1421"/>
    <w:next w:val="1614"/>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55" w:customStyle="1">
    <w:name w:val="Нет списка2"/>
    <w:next w:val="1422"/>
    <w:uiPriority w:val="99"/>
    <w:semiHidden/>
    <w:unhideWhenUsed/>
  </w:style>
  <w:style w:type="table" w:styleId="1656" w:customStyle="1">
    <w:name w:val="Сетка таблицы2"/>
    <w:basedOn w:val="1421"/>
    <w:next w:val="1614"/>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57" w:customStyle="1">
    <w:name w:val="Style3"/>
    <w:basedOn w:val="1410"/>
    <w:uiPriority w:val="99"/>
    <w:pPr>
      <w:widowControl w:val="off"/>
      <w:spacing w:line="240" w:lineRule="auto"/>
      <w:ind w:firstLine="0"/>
      <w:jc w:val="left"/>
    </w:pPr>
    <w:rPr>
      <w:sz w:val="24"/>
      <w:szCs w:val="24"/>
    </w:rPr>
  </w:style>
  <w:style w:type="character" w:styleId="1658" w:customStyle="1">
    <w:name w:val="Заголовок 2 Знак"/>
    <w:link w:val="1660"/>
    <w:uiPriority w:val="9"/>
    <w:qFormat/>
    <w:rPr>
      <w:b/>
      <w:sz w:val="24"/>
    </w:rPr>
  </w:style>
  <w:style w:type="paragraph" w:styleId="1659" w:customStyle="1">
    <w:name w:val="Заголовок 11"/>
    <w:basedOn w:val="1410"/>
    <w:next w:val="1410"/>
    <w:uiPriority w:val="99"/>
    <w:qFormat/>
    <w:pPr>
      <w:keepNext/>
      <w:numPr>
        <w:numId w:val="1"/>
        <w:ilvl w:val="0"/>
      </w:numPr>
      <w:spacing w:line="240" w:lineRule="auto"/>
      <w:jc w:val="left"/>
      <w:outlineLvl w:val="0"/>
    </w:pPr>
    <w:rPr>
      <w:b/>
      <w:color w:val="000000"/>
      <w:sz w:val="24"/>
      <w:szCs w:val="20"/>
    </w:rPr>
  </w:style>
  <w:style w:type="paragraph" w:styleId="1660" w:customStyle="1">
    <w:name w:val="Заголовок 21"/>
    <w:basedOn w:val="1410"/>
    <w:next w:val="1410"/>
    <w:link w:val="1658"/>
    <w:uiPriority w:val="9"/>
    <w:qFormat/>
    <w:pPr>
      <w:keepNext/>
      <w:numPr>
        <w:numId w:val="1"/>
        <w:ilvl w:val="1"/>
      </w:numPr>
      <w:spacing w:line="240" w:lineRule="auto"/>
      <w:ind w:right="-375" w:firstLine="0"/>
      <w:jc w:val="center"/>
      <w:outlineLvl w:val="1"/>
    </w:pPr>
    <w:rPr>
      <w:rFonts w:asciiTheme="minorHAnsi" w:hAnsiTheme="minorHAnsi" w:eastAsiaTheme="minorHAnsi" w:cstheme="minorBidi"/>
      <w:b/>
      <w:sz w:val="24"/>
      <w:szCs w:val="22"/>
      <w:lang w:eastAsia="en-US"/>
    </w:rPr>
  </w:style>
  <w:style w:type="paragraph" w:styleId="1661" w:customStyle="1">
    <w:name w:val="Заголовок 31"/>
    <w:basedOn w:val="1410"/>
    <w:next w:val="1410"/>
    <w:uiPriority w:val="99"/>
    <w:qFormat/>
    <w:pPr>
      <w:keepNext/>
      <w:numPr>
        <w:numId w:val="1"/>
        <w:ilvl w:val="2"/>
      </w:numPr>
      <w:spacing w:line="240" w:lineRule="auto"/>
      <w:ind w:left="-567" w:right="-375" w:firstLine="0"/>
      <w:jc w:val="center"/>
      <w:outlineLvl w:val="2"/>
    </w:pPr>
    <w:rPr>
      <w:b/>
      <w:sz w:val="24"/>
      <w:szCs w:val="20"/>
    </w:rPr>
  </w:style>
  <w:style w:type="character" w:styleId="1662" w:customStyle="1">
    <w:name w:val="markedcontent"/>
    <w:basedOn w:val="1420"/>
  </w:style>
  <w:style w:type="paragraph" w:styleId="1663" w:customStyle="1">
    <w:name w:val="Знак1"/>
    <w:basedOn w:val="1410"/>
    <w:uiPriority w:val="99"/>
    <w:pPr>
      <w:spacing w:after="160" w:line="240" w:lineRule="exact"/>
      <w:ind w:firstLine="0"/>
      <w:jc w:val="left"/>
    </w:pPr>
    <w:rPr>
      <w:rFonts w:ascii="Verdana" w:hAnsi="Verdana"/>
      <w:sz w:val="20"/>
      <w:szCs w:val="20"/>
      <w:lang w:val="en-US" w:eastAsia="en-US"/>
    </w:rPr>
  </w:style>
  <w:style w:type="paragraph" w:styleId="1664">
    <w:name w:val="Body Text Indent"/>
    <w:basedOn w:val="1410"/>
    <w:link w:val="1665"/>
    <w:uiPriority w:val="99"/>
    <w:pPr>
      <w:spacing w:after="120" w:line="240" w:lineRule="auto"/>
      <w:ind w:left="283" w:firstLine="0"/>
      <w:jc w:val="left"/>
    </w:pPr>
    <w:rPr>
      <w:rFonts w:ascii="Calibri" w:hAnsi="Calibri"/>
      <w:sz w:val="22"/>
      <w:szCs w:val="22"/>
      <w:lang w:eastAsia="en-US"/>
    </w:rPr>
  </w:style>
  <w:style w:type="character" w:styleId="1665" w:customStyle="1">
    <w:name w:val="Основной текст с отступом Знак"/>
    <w:basedOn w:val="1420"/>
    <w:link w:val="1664"/>
    <w:uiPriority w:val="99"/>
    <w:rPr>
      <w:rFonts w:ascii="Calibri" w:hAnsi="Calibri" w:eastAsia="Times New Roman" w:cs="Times New Roman"/>
    </w:rPr>
  </w:style>
  <w:style w:type="paragraph" w:styleId="1666" w:customStyle="1">
    <w:name w:val="Знак Знак Знак1 Знак Знак Знак Знак"/>
    <w:basedOn w:val="1410"/>
    <w:uiPriority w:val="99"/>
    <w:pPr>
      <w:spacing w:after="160" w:line="240" w:lineRule="exact"/>
      <w:ind w:firstLine="0"/>
      <w:jc w:val="left"/>
    </w:pPr>
    <w:rPr>
      <w:rFonts w:ascii="Verdana" w:hAnsi="Verdana" w:cs="Verdana"/>
      <w:sz w:val="24"/>
      <w:szCs w:val="24"/>
      <w:lang w:val="en-US" w:eastAsia="en-US"/>
    </w:rPr>
  </w:style>
  <w:style w:type="paragraph" w:styleId="1667" w:customStyle="1">
    <w:name w:val="Знак"/>
    <w:basedOn w:val="1410"/>
    <w:uiPriority w:val="99"/>
    <w:pPr>
      <w:tabs>
        <w:tab w:val="num" w:pos="1287" w:leader="none"/>
      </w:tabs>
      <w:spacing w:after="160" w:line="240" w:lineRule="exact"/>
      <w:ind w:left="1287" w:hanging="360"/>
    </w:pPr>
    <w:rPr>
      <w:rFonts w:ascii="Verdana" w:hAnsi="Verdana" w:cs="Arial"/>
      <w:sz w:val="20"/>
      <w:szCs w:val="20"/>
      <w:lang w:val="en-US" w:eastAsia="en-US"/>
    </w:rPr>
  </w:style>
  <w:style w:type="paragraph" w:styleId="1668" w:customStyle="1">
    <w:name w:val="Знак Знак Знак Знак"/>
    <w:basedOn w:val="1410"/>
    <w:uiPriority w:val="99"/>
    <w:pPr>
      <w:tabs>
        <w:tab w:val="num" w:pos="1287" w:leader="none"/>
      </w:tabs>
      <w:spacing w:after="160" w:line="240" w:lineRule="exact"/>
      <w:ind w:left="1287" w:hanging="360"/>
    </w:pPr>
    <w:rPr>
      <w:rFonts w:ascii="Verdana" w:hAnsi="Verdana" w:cs="Verdana"/>
      <w:sz w:val="20"/>
      <w:szCs w:val="20"/>
      <w:lang w:val="en-US" w:eastAsia="en-US"/>
    </w:rPr>
  </w:style>
  <w:style w:type="paragraph" w:styleId="1669">
    <w:name w:val="Body Text Indent 2"/>
    <w:basedOn w:val="1410"/>
    <w:link w:val="1670"/>
    <w:uiPriority w:val="99"/>
    <w:pPr>
      <w:spacing w:after="120" w:line="480" w:lineRule="auto"/>
      <w:ind w:left="283" w:firstLine="0"/>
      <w:jc w:val="left"/>
    </w:pPr>
    <w:rPr>
      <w:sz w:val="24"/>
      <w:szCs w:val="24"/>
    </w:rPr>
  </w:style>
  <w:style w:type="character" w:styleId="1670" w:customStyle="1">
    <w:name w:val="Основной текст с отступом 2 Знак"/>
    <w:basedOn w:val="1420"/>
    <w:link w:val="1669"/>
    <w:uiPriority w:val="99"/>
    <w:rPr>
      <w:rFonts w:ascii="Times New Roman" w:hAnsi="Times New Roman" w:eastAsia="Times New Roman" w:cs="Times New Roman"/>
      <w:sz w:val="24"/>
      <w:szCs w:val="24"/>
      <w:lang w:eastAsia="ru-RU"/>
    </w:rPr>
  </w:style>
  <w:style w:type="paragraph" w:styleId="1671">
    <w:name w:val="Plain Text"/>
    <w:basedOn w:val="1410"/>
    <w:link w:val="1672"/>
    <w:pPr>
      <w:spacing w:line="240" w:lineRule="auto"/>
      <w:ind w:firstLine="0"/>
      <w:jc w:val="left"/>
    </w:pPr>
    <w:rPr>
      <w:rFonts w:ascii="Courier New" w:hAnsi="Courier New" w:cs="Courier New"/>
      <w:sz w:val="20"/>
      <w:szCs w:val="20"/>
    </w:rPr>
  </w:style>
  <w:style w:type="character" w:styleId="1672" w:customStyle="1">
    <w:name w:val="Текст Знак"/>
    <w:basedOn w:val="1420"/>
    <w:link w:val="1671"/>
    <w:rPr>
      <w:rFonts w:ascii="Courier New" w:hAnsi="Courier New" w:eastAsia="Times New Roman" w:cs="Courier New"/>
      <w:sz w:val="20"/>
      <w:szCs w:val="20"/>
      <w:lang w:eastAsia="ru-RU"/>
    </w:rPr>
  </w:style>
  <w:style w:type="character" w:styleId="1673" w:customStyle="1">
    <w:name w:val="white"/>
    <w:basedOn w:val="1420"/>
    <w:uiPriority w:val="99"/>
    <w:rPr>
      <w:rFonts w:cs="Times New Roman"/>
    </w:rPr>
  </w:style>
  <w:style w:type="paragraph" w:styleId="1674" w:customStyle="1">
    <w:name w:val="Знак Знак Знак Знак Знак Знак Знак"/>
    <w:basedOn w:val="1410"/>
    <w:uiPriority w:val="99"/>
    <w:pPr>
      <w:spacing w:after="160" w:line="240" w:lineRule="exact"/>
      <w:ind w:firstLine="0"/>
      <w:jc w:val="left"/>
    </w:pPr>
    <w:rPr>
      <w:rFonts w:ascii="Verdana" w:hAnsi="Verdana"/>
      <w:sz w:val="20"/>
      <w:szCs w:val="20"/>
      <w:lang w:val="en-US" w:eastAsia="en-US"/>
    </w:rPr>
  </w:style>
  <w:style w:type="paragraph" w:styleId="1675">
    <w:name w:val="HTML Preformatted"/>
    <w:basedOn w:val="1410"/>
    <w:link w:val="1676"/>
    <w:uiPriority w:val="99"/>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240" w:lineRule="auto"/>
      <w:ind w:firstLine="0"/>
      <w:jc w:val="left"/>
    </w:pPr>
    <w:rPr>
      <w:rFonts w:ascii="Courier New" w:hAnsi="Courier New"/>
      <w:sz w:val="20"/>
      <w:szCs w:val="20"/>
    </w:rPr>
  </w:style>
  <w:style w:type="character" w:styleId="1676" w:customStyle="1">
    <w:name w:val="Стандартный HTML Знак"/>
    <w:basedOn w:val="1420"/>
    <w:link w:val="1675"/>
    <w:uiPriority w:val="99"/>
    <w:rPr>
      <w:rFonts w:ascii="Courier New" w:hAnsi="Courier New" w:eastAsia="Times New Roman" w:cs="Times New Roman"/>
      <w:sz w:val="20"/>
      <w:szCs w:val="20"/>
      <w:lang w:eastAsia="ru-RU"/>
    </w:rPr>
  </w:style>
  <w:style w:type="character" w:styleId="1677" w:customStyle="1">
    <w:name w:val="HTML Preformatted Char"/>
    <w:basedOn w:val="1420"/>
    <w:uiPriority w:val="99"/>
    <w:rPr>
      <w:rFonts w:ascii="Courier New" w:hAnsi="Courier New" w:cs="Times New Roman"/>
      <w:color w:val="000000"/>
      <w:lang w:val="ru-RU" w:eastAsia="ru-RU"/>
    </w:rPr>
  </w:style>
  <w:style w:type="character" w:styleId="1678" w:customStyle="1">
    <w:name w:val="Header Char"/>
    <w:basedOn w:val="1420"/>
    <w:uiPriority w:val="99"/>
    <w:semiHidden/>
    <w:rPr>
      <w:rFonts w:cs="Times New Roman"/>
      <w:sz w:val="20"/>
      <w:szCs w:val="20"/>
    </w:rPr>
  </w:style>
  <w:style w:type="paragraph" w:styleId="1679"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410"/>
    <w:uiPriority w:val="99"/>
    <w:pPr>
      <w:tabs>
        <w:tab w:val="num" w:pos="1287" w:leader="none"/>
      </w:tabs>
      <w:spacing w:after="160" w:line="240" w:lineRule="exact"/>
      <w:ind w:left="1287" w:hanging="360"/>
    </w:pPr>
    <w:rPr>
      <w:rFonts w:ascii="Verdana" w:hAnsi="Verdana" w:cs="Arial"/>
      <w:sz w:val="20"/>
      <w:szCs w:val="20"/>
      <w:lang w:val="en-US" w:eastAsia="en-US"/>
    </w:rPr>
  </w:style>
  <w:style w:type="paragraph" w:styleId="1680" w:customStyle="1">
    <w:name w:val="No Spacing1"/>
    <w:link w:val="1700"/>
    <w:uiPriority w:val="99"/>
    <w:pPr>
      <w:spacing w:after="0" w:line="240" w:lineRule="auto"/>
    </w:pPr>
    <w:rPr>
      <w:rFonts w:ascii="Calibri" w:hAnsi="Calibri" w:eastAsia="Times New Roman" w:cs="Times New Roman"/>
    </w:rPr>
  </w:style>
  <w:style w:type="paragraph" w:styleId="1681">
    <w:name w:val="Body Text Indent 3"/>
    <w:basedOn w:val="1410"/>
    <w:link w:val="1682"/>
    <w:uiPriority w:val="99"/>
    <w:pPr>
      <w:widowControl w:val="off"/>
      <w:spacing w:after="120" w:line="240" w:lineRule="auto"/>
      <w:ind w:left="283" w:firstLine="0"/>
      <w:jc w:val="left"/>
    </w:pPr>
    <w:rPr>
      <w:sz w:val="16"/>
      <w:szCs w:val="16"/>
    </w:rPr>
  </w:style>
  <w:style w:type="character" w:styleId="1682" w:customStyle="1">
    <w:name w:val="Основной текст с отступом 3 Знак"/>
    <w:basedOn w:val="1420"/>
    <w:link w:val="1681"/>
    <w:uiPriority w:val="99"/>
    <w:rPr>
      <w:rFonts w:ascii="Times New Roman" w:hAnsi="Times New Roman" w:eastAsia="Times New Roman" w:cs="Times New Roman"/>
      <w:sz w:val="16"/>
      <w:szCs w:val="16"/>
      <w:lang w:eastAsia="ru-RU"/>
    </w:rPr>
  </w:style>
  <w:style w:type="paragraph" w:styleId="1683" w:customStyle="1">
    <w:name w:val="1"/>
    <w:basedOn w:val="1410"/>
    <w:uiPriority w:val="99"/>
    <w:pPr>
      <w:tabs>
        <w:tab w:val="num" w:pos="1287" w:leader="none"/>
      </w:tabs>
      <w:spacing w:after="160" w:line="240" w:lineRule="exact"/>
      <w:ind w:left="1287" w:hanging="360"/>
    </w:pPr>
    <w:rPr>
      <w:rFonts w:ascii="Verdana" w:hAnsi="Verdana" w:cs="Arial"/>
      <w:sz w:val="20"/>
      <w:szCs w:val="20"/>
      <w:lang w:val="en-US" w:eastAsia="en-US"/>
    </w:rPr>
  </w:style>
  <w:style w:type="paragraph" w:styleId="1684" w:customStyle="1">
    <w:name w:val="Знак3"/>
    <w:basedOn w:val="1410"/>
    <w:uiPriority w:val="99"/>
    <w:pPr>
      <w:tabs>
        <w:tab w:val="num" w:pos="1287" w:leader="none"/>
      </w:tabs>
      <w:spacing w:after="160" w:line="240" w:lineRule="exact"/>
      <w:ind w:left="1287" w:hanging="360"/>
    </w:pPr>
    <w:rPr>
      <w:rFonts w:ascii="Verdana" w:hAnsi="Verdana" w:cs="Arial"/>
      <w:sz w:val="20"/>
      <w:szCs w:val="20"/>
      <w:lang w:val="en-US" w:eastAsia="en-US"/>
    </w:rPr>
  </w:style>
  <w:style w:type="paragraph" w:styleId="1685" w:customStyle="1">
    <w:name w:val="Знак Знак4 Знак Знак"/>
    <w:basedOn w:val="1410"/>
    <w:uiPriority w:val="99"/>
    <w:pPr>
      <w:spacing w:after="160" w:line="240" w:lineRule="exact"/>
      <w:ind w:firstLine="0"/>
      <w:jc w:val="left"/>
    </w:pPr>
    <w:rPr>
      <w:rFonts w:ascii="Verdana" w:hAnsi="Verdana"/>
      <w:sz w:val="20"/>
      <w:szCs w:val="20"/>
      <w:lang w:val="en-US" w:eastAsia="en-US"/>
    </w:rPr>
  </w:style>
  <w:style w:type="character" w:styleId="1686" w:customStyle="1">
    <w:name w:val="Верхний колонтитул Знак1"/>
    <w:qFormat/>
    <w:rPr>
      <w:lang w:val="ru-RU" w:eastAsia="ru-RU"/>
    </w:rPr>
  </w:style>
  <w:style w:type="paragraph" w:styleId="1687" w:customStyle="1">
    <w:name w:val="ConsNonformat"/>
    <w:link w:val="1688"/>
    <w:uiPriority w:val="99"/>
    <w:pPr>
      <w:widowControl w:val="off"/>
      <w:spacing w:after="0" w:line="240" w:lineRule="auto"/>
    </w:pPr>
    <w:rPr>
      <w:rFonts w:ascii="Courier New" w:hAnsi="Courier New" w:eastAsia="Times New Roman" w:cs="Times New Roman"/>
      <w:lang w:eastAsia="ru-RU"/>
    </w:rPr>
  </w:style>
  <w:style w:type="character" w:styleId="1688" w:customStyle="1">
    <w:name w:val="ConsNonformat Знак"/>
    <w:link w:val="1687"/>
    <w:uiPriority w:val="99"/>
    <w:rPr>
      <w:rFonts w:ascii="Courier New" w:hAnsi="Courier New" w:eastAsia="Times New Roman" w:cs="Times New Roman"/>
      <w:lang w:eastAsia="ru-RU"/>
    </w:rPr>
  </w:style>
  <w:style w:type="paragraph" w:styleId="1689" w:customStyle="1">
    <w:name w:val="Знак Знак Знак Знак1"/>
    <w:basedOn w:val="1410"/>
    <w:uiPriority w:val="99"/>
    <w:pPr>
      <w:tabs>
        <w:tab w:val="num" w:pos="1287" w:leader="none"/>
      </w:tabs>
      <w:spacing w:after="160" w:line="240" w:lineRule="exact"/>
      <w:ind w:left="1287" w:hanging="360"/>
    </w:pPr>
    <w:rPr>
      <w:rFonts w:ascii="Verdana" w:hAnsi="Verdana" w:cs="Arial"/>
      <w:sz w:val="20"/>
      <w:szCs w:val="20"/>
      <w:lang w:val="en-US" w:eastAsia="en-US"/>
    </w:rPr>
  </w:style>
  <w:style w:type="paragraph" w:styleId="1690">
    <w:name w:val="Body Text 3"/>
    <w:basedOn w:val="1410"/>
    <w:link w:val="1691"/>
    <w:uiPriority w:val="99"/>
    <w:pPr>
      <w:spacing w:after="120" w:line="240" w:lineRule="auto"/>
      <w:ind w:firstLine="0"/>
      <w:jc w:val="left"/>
    </w:pPr>
    <w:rPr>
      <w:sz w:val="16"/>
      <w:szCs w:val="16"/>
    </w:rPr>
  </w:style>
  <w:style w:type="character" w:styleId="1691" w:customStyle="1">
    <w:name w:val="Основной текст 3 Знак"/>
    <w:basedOn w:val="1420"/>
    <w:link w:val="1690"/>
    <w:uiPriority w:val="99"/>
    <w:rPr>
      <w:rFonts w:ascii="Times New Roman" w:hAnsi="Times New Roman" w:eastAsia="Times New Roman" w:cs="Times New Roman"/>
      <w:sz w:val="16"/>
      <w:szCs w:val="16"/>
      <w:lang w:eastAsia="ru-RU"/>
    </w:rPr>
  </w:style>
  <w:style w:type="character" w:styleId="1692" w:customStyle="1">
    <w:name w:val="Font Style12"/>
    <w:uiPriority w:val="99"/>
    <w:rPr>
      <w:rFonts w:ascii="Times New Roman" w:hAnsi="Times New Roman"/>
      <w:sz w:val="26"/>
    </w:rPr>
  </w:style>
  <w:style w:type="character" w:styleId="1693" w:customStyle="1">
    <w:name w:val="Верхний колонтитул Знак Знак Знак1"/>
    <w:rPr>
      <w:rFonts w:ascii="Courier New" w:hAnsi="Courier New"/>
      <w:sz w:val="24"/>
      <w:lang w:val="ru-RU" w:eastAsia="ru-RU"/>
    </w:rPr>
  </w:style>
  <w:style w:type="character" w:styleId="1694" w:customStyle="1">
    <w:name w:val="Основной текст1"/>
    <w:uiPriority w:val="99"/>
    <w:rPr>
      <w:color w:val="000000"/>
      <w:spacing w:val="0"/>
      <w:position w:val="0"/>
      <w:sz w:val="23"/>
      <w:shd w:val="clear" w:color="auto" w:fill="ffffff"/>
      <w:lang w:val="ru-RU"/>
    </w:rPr>
  </w:style>
  <w:style w:type="paragraph" w:styleId="1695" w:customStyle="1">
    <w:name w:val="Основной текст4"/>
    <w:basedOn w:val="1410"/>
    <w:uiPriority w:val="99"/>
    <w:pPr>
      <w:widowControl w:val="off"/>
      <w:shd w:val="clear" w:color="auto" w:fill="ffffff"/>
      <w:spacing w:before="1800" w:after="360" w:line="240" w:lineRule="atLeast"/>
      <w:ind w:firstLine="0"/>
      <w:jc w:val="center"/>
    </w:pPr>
    <w:rPr>
      <w:sz w:val="23"/>
      <w:szCs w:val="20"/>
      <w:shd w:val="clear" w:color="auto" w:fill="ffffff"/>
    </w:rPr>
  </w:style>
  <w:style w:type="paragraph" w:styleId="1696">
    <w:name w:val="Body Text 2"/>
    <w:basedOn w:val="1410"/>
    <w:link w:val="1697"/>
    <w:uiPriority w:val="99"/>
    <w:pPr>
      <w:spacing w:after="120" w:line="480" w:lineRule="auto"/>
      <w:ind w:firstLine="0"/>
      <w:jc w:val="left"/>
    </w:pPr>
    <w:rPr>
      <w:sz w:val="24"/>
      <w:szCs w:val="20"/>
    </w:rPr>
  </w:style>
  <w:style w:type="character" w:styleId="1697" w:customStyle="1">
    <w:name w:val="Основной текст 2 Знак"/>
    <w:basedOn w:val="1420"/>
    <w:link w:val="1696"/>
    <w:uiPriority w:val="99"/>
    <w:rPr>
      <w:rFonts w:ascii="Times New Roman" w:hAnsi="Times New Roman" w:eastAsia="Times New Roman" w:cs="Times New Roman"/>
      <w:sz w:val="24"/>
      <w:szCs w:val="20"/>
      <w:lang w:eastAsia="ru-RU"/>
    </w:rPr>
  </w:style>
  <w:style w:type="paragraph" w:styleId="1698">
    <w:name w:val="Block Text"/>
    <w:basedOn w:val="1410"/>
    <w:pPr>
      <w:spacing w:line="240" w:lineRule="auto"/>
      <w:ind w:left="-540" w:right="5395" w:firstLine="540"/>
    </w:pPr>
    <w:rPr>
      <w:sz w:val="24"/>
      <w:szCs w:val="24"/>
    </w:rPr>
  </w:style>
  <w:style w:type="paragraph" w:styleId="1699" w:customStyle="1">
    <w:name w:val="Знак1 Знак Знак Знак"/>
    <w:basedOn w:val="1410"/>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styleId="1700" w:customStyle="1">
    <w:name w:val="No Spacing Char"/>
    <w:link w:val="1680"/>
    <w:uiPriority w:val="99"/>
    <w:rPr>
      <w:rFonts w:ascii="Calibri" w:hAnsi="Calibri" w:eastAsia="Times New Roman" w:cs="Times New Roman"/>
    </w:rPr>
  </w:style>
  <w:style w:type="character" w:styleId="1701" w:customStyle="1">
    <w:name w:val="Верхний колонтитул Знак1 Знак Знак1"/>
    <w:uiPriority w:val="99"/>
    <w:rPr>
      <w:sz w:val="22"/>
      <w:lang w:eastAsia="en-US"/>
    </w:rPr>
  </w:style>
  <w:style w:type="character" w:styleId="1702" w:customStyle="1">
    <w:name w:val="Знак Знак2"/>
    <w:uiPriority w:val="99"/>
    <w:rPr>
      <w:sz w:val="24"/>
    </w:rPr>
  </w:style>
  <w:style w:type="character" w:styleId="1703" w:customStyle="1">
    <w:name w:val="Знак Знак1 Знак"/>
    <w:basedOn w:val="1420"/>
    <w:rPr>
      <w:rFonts w:ascii="Times New Roman" w:hAnsi="Times New Roman" w:eastAsia="Times New Roman" w:cs="Times New Roman"/>
      <w:sz w:val="24"/>
      <w:szCs w:val="20"/>
      <w:lang w:eastAsia="ru-RU"/>
    </w:rPr>
  </w:style>
  <w:style w:type="paragraph" w:styleId="1704" w:customStyle="1">
    <w:name w:val="Обычный + 13 пт"/>
    <w:basedOn w:val="1410"/>
    <w:pPr>
      <w:spacing w:line="240" w:lineRule="auto"/>
      <w:ind w:firstLine="708"/>
    </w:pPr>
    <w:rPr>
      <w:sz w:val="26"/>
      <w:szCs w:val="26"/>
    </w:rPr>
  </w:style>
  <w:style w:type="character" w:styleId="1705" w:customStyle="1">
    <w:name w:val="Основной текст (5)_"/>
    <w:basedOn w:val="1420"/>
    <w:link w:val="1706"/>
    <w:rPr>
      <w:b/>
      <w:bCs/>
      <w:sz w:val="28"/>
      <w:szCs w:val="28"/>
      <w:shd w:val="clear" w:color="auto" w:fill="ffffff"/>
    </w:rPr>
  </w:style>
  <w:style w:type="paragraph" w:styleId="1706" w:customStyle="1">
    <w:name w:val="Основной текст (5)"/>
    <w:basedOn w:val="1410"/>
    <w:link w:val="1705"/>
    <w:pPr>
      <w:widowControl w:val="off"/>
      <w:shd w:val="clear" w:color="auto" w:fill="ffffff"/>
      <w:spacing w:line="322" w:lineRule="exact"/>
      <w:ind w:firstLine="0"/>
    </w:pPr>
    <w:rPr>
      <w:rFonts w:asciiTheme="minorHAnsi" w:hAnsiTheme="minorHAnsi" w:eastAsiaTheme="minorHAnsi" w:cstheme="minorBidi"/>
      <w:b/>
      <w:bCs/>
      <w:lang w:eastAsia="en-US"/>
    </w:rPr>
  </w:style>
  <w:style w:type="character" w:styleId="1707" w:customStyle="1">
    <w:name w:val="Основной текст (4)_"/>
    <w:basedOn w:val="1420"/>
    <w:link w:val="1708"/>
    <w:rPr>
      <w:b/>
      <w:bCs/>
      <w:shd w:val="clear" w:color="auto" w:fill="ffffff"/>
    </w:rPr>
  </w:style>
  <w:style w:type="paragraph" w:styleId="1708" w:customStyle="1">
    <w:name w:val="Основной текст (4)"/>
    <w:basedOn w:val="1410"/>
    <w:link w:val="1707"/>
    <w:pPr>
      <w:widowControl w:val="off"/>
      <w:shd w:val="clear" w:color="auto" w:fill="ffffff"/>
      <w:spacing w:line="269" w:lineRule="exact"/>
      <w:ind w:firstLine="0"/>
      <w:jc w:val="left"/>
    </w:pPr>
    <w:rPr>
      <w:rFonts w:asciiTheme="minorHAnsi" w:hAnsiTheme="minorHAnsi" w:eastAsiaTheme="minorHAnsi" w:cstheme="minorBidi"/>
      <w:b/>
      <w:bCs/>
      <w:sz w:val="22"/>
      <w:szCs w:val="22"/>
      <w:lang w:eastAsia="en-US"/>
    </w:rPr>
  </w:style>
  <w:style w:type="character" w:styleId="1709" w:customStyle="1">
    <w:name w:val="Основной текст (2)_"/>
    <w:basedOn w:val="1420"/>
    <w:link w:val="1710"/>
    <w:rPr>
      <w:sz w:val="26"/>
      <w:szCs w:val="26"/>
      <w:shd w:val="clear" w:color="auto" w:fill="ffffff"/>
    </w:rPr>
  </w:style>
  <w:style w:type="paragraph" w:styleId="1710" w:customStyle="1">
    <w:name w:val="Основной текст (2)"/>
    <w:basedOn w:val="1410"/>
    <w:link w:val="1709"/>
    <w:pPr>
      <w:widowControl w:val="off"/>
      <w:shd w:val="clear" w:color="auto" w:fill="ffffff"/>
      <w:spacing w:line="322" w:lineRule="exact"/>
      <w:ind w:firstLine="0"/>
      <w:jc w:val="left"/>
    </w:pPr>
    <w:rPr>
      <w:rFonts w:asciiTheme="minorHAnsi" w:hAnsiTheme="minorHAnsi" w:eastAsiaTheme="minorHAnsi" w:cstheme="minorBidi"/>
      <w:sz w:val="26"/>
      <w:szCs w:val="26"/>
      <w:lang w:eastAsia="en-US"/>
    </w:rPr>
  </w:style>
  <w:style w:type="paragraph" w:styleId="1711" w:customStyle="1">
    <w:name w:val="_Базовый"/>
    <w:basedOn w:val="1410"/>
    <w:pPr>
      <w:tabs>
        <w:tab w:val="left" w:pos="736" w:leader="none"/>
        <w:tab w:val="left" w:pos="914" w:leader="none"/>
      </w:tabs>
      <w:spacing w:line="240" w:lineRule="auto"/>
      <w:ind w:firstLine="850"/>
    </w:pPr>
    <w:rPr>
      <w:rFonts w:eastAsia="Arial" w:cs="Arial"/>
      <w:lang w:eastAsia="zh-CN" w:bidi="hi-IN"/>
    </w:rPr>
  </w:style>
  <w:style w:type="paragraph" w:styleId="1712" w:customStyle="1">
    <w:name w:val="ConsPlusNonformat"/>
    <w:pPr>
      <w:spacing w:after="0" w:line="240" w:lineRule="auto"/>
    </w:pPr>
    <w:rPr>
      <w:rFonts w:ascii="Courier New" w:hAnsi="Courier New" w:eastAsia="Times New Roman" w:cs="Courier New"/>
      <w:sz w:val="20"/>
      <w:szCs w:val="20"/>
      <w:lang w:eastAsia="ru-RU"/>
    </w:rPr>
  </w:style>
  <w:style w:type="character" w:styleId="1713" w:customStyle="1">
    <w:name w:val="Выделение1"/>
    <w:uiPriority w:val="20"/>
    <w:qFormat/>
    <w:rPr>
      <w:i/>
      <w:iCs/>
    </w:rPr>
  </w:style>
  <w:style w:type="character" w:styleId="1714" w:customStyle="1">
    <w:name w:val="Заголовок 4 Знак"/>
    <w:basedOn w:val="1420"/>
    <w:link w:val="1414"/>
    <w:uiPriority w:val="9"/>
    <w:rPr>
      <w:rFonts w:asciiTheme="majorHAnsi" w:hAnsiTheme="majorHAnsi" w:eastAsiaTheme="majorEastAsia" w:cstheme="majorBidi"/>
      <w:b/>
      <w:bCs/>
      <w:i/>
      <w:iCs/>
      <w:color w:val="5b9bd5" w:themeColor="accent1"/>
      <w:sz w:val="28"/>
      <w:szCs w:val="28"/>
      <w:lang w:eastAsia="ru-RU"/>
    </w:rPr>
  </w:style>
  <w:style w:type="paragraph" w:styleId="1715" w:customStyle="1">
    <w:name w:val="Информация об изменениях"/>
    <w:basedOn w:val="1410"/>
    <w:next w:val="1410"/>
    <w:uiPriority w:val="99"/>
    <w:pPr>
      <w:spacing w:before="180" w:line="240" w:lineRule="auto"/>
      <w:ind w:left="360" w:right="360" w:firstLine="0"/>
    </w:pPr>
    <w:rPr>
      <w:rFonts w:ascii="Arial" w:hAnsi="Arial" w:cs="Arial"/>
      <w:color w:val="353842"/>
      <w:sz w:val="18"/>
      <w:szCs w:val="18"/>
      <w:shd w:val="clear" w:color="auto" w:fill="eaefed"/>
    </w:rPr>
  </w:style>
  <w:style w:type="paragraph" w:styleId="1716">
    <w:name w:val="annotation text"/>
    <w:basedOn w:val="1410"/>
    <w:link w:val="1717"/>
    <w:semiHidden/>
    <w:unhideWhenUsed/>
    <w:pPr>
      <w:spacing w:line="240" w:lineRule="auto"/>
    </w:pPr>
    <w:rPr>
      <w:sz w:val="20"/>
      <w:szCs w:val="20"/>
    </w:rPr>
  </w:style>
  <w:style w:type="character" w:styleId="1717" w:customStyle="1">
    <w:name w:val="Текст примечания Знак"/>
    <w:basedOn w:val="1420"/>
    <w:link w:val="1716"/>
    <w:semiHidden/>
    <w:rPr>
      <w:rFonts w:ascii="Times New Roman" w:hAnsi="Times New Roman" w:eastAsia="Times New Roman" w:cs="Times New Roman"/>
      <w:sz w:val="20"/>
      <w:szCs w:val="20"/>
      <w:lang w:eastAsia="ru-RU"/>
    </w:rPr>
  </w:style>
  <w:style w:type="character" w:styleId="1718">
    <w:name w:val="annotation reference"/>
    <w:basedOn w:val="1420"/>
    <w:semiHidden/>
    <w:unhideWhenUsed/>
    <w:rPr>
      <w:sz w:val="16"/>
      <w:szCs w:val="16"/>
    </w:rPr>
  </w:style>
  <w:style w:type="paragraph" w:styleId="1719">
    <w:name w:val="annotation subject"/>
    <w:basedOn w:val="1716"/>
    <w:next w:val="1716"/>
    <w:link w:val="1720"/>
    <w:uiPriority w:val="99"/>
    <w:semiHidden/>
    <w:unhideWhenUsed/>
    <w:rPr>
      <w:b/>
      <w:bCs/>
    </w:rPr>
  </w:style>
  <w:style w:type="character" w:styleId="1720" w:customStyle="1">
    <w:name w:val="Тема примечания Знак"/>
    <w:basedOn w:val="1717"/>
    <w:link w:val="1719"/>
    <w:uiPriority w:val="99"/>
    <w:semiHidden/>
    <w:rPr>
      <w:rFonts w:ascii="Times New Roman" w:hAnsi="Times New Roman" w:eastAsia="Times New Roman" w:cs="Times New Roman"/>
      <w:b/>
      <w:bCs/>
      <w:sz w:val="20"/>
      <w:szCs w:val="20"/>
      <w:lang w:eastAsia="ru-RU"/>
    </w:rPr>
  </w:style>
  <w:style w:type="character" w:styleId="1721">
    <w:name w:val="Strong"/>
    <w:basedOn w:val="1420"/>
    <w:uiPriority w:val="22"/>
    <w:qFormat/>
    <w:rPr>
      <w:b/>
      <w:bCs/>
    </w:rPr>
  </w:style>
  <w:style w:type="paragraph" w:styleId="1722" w:customStyle="1">
    <w:name w:val="Standard"/>
    <w:pPr>
      <w:spacing w:line="240" w:lineRule="auto"/>
    </w:pPr>
    <w:rPr>
      <w:rFonts w:ascii="Calibri" w:hAnsi="Calibri" w:eastAsia="Calibri" w:cs="Tahoma"/>
      <w:lang w:eastAsia="zh-CN"/>
    </w:rPr>
  </w:style>
  <w:style w:type="character" w:styleId="1723" w:customStyle="1">
    <w:name w:val="Гиперссылка1"/>
    <w:uiPriority w:val="99"/>
    <w:rPr>
      <w:rFonts w:cs="Times New Roman"/>
      <w:color w:val="0000ff"/>
      <w:u w:val="single"/>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customXml" Target="../customXml/item1.xml" /><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hyperlink" Target="garantF1://12007402.53044" TargetMode="External"/><Relationship Id="rId41" Type="http://schemas.openxmlformats.org/officeDocument/2006/relationships/hyperlink" Target="https://ugra-news.ru" TargetMode="External"/><Relationship Id="rId42" Type="http://schemas.openxmlformats.org/officeDocument/2006/relationships/image" Target="media/image20.png"/><Relationship Id="rId43" Type="http://schemas.openxmlformats.org/officeDocument/2006/relationships/image" Target="media/image21.jpg"/><Relationship Id="rId44" Type="http://schemas.openxmlformats.org/officeDocument/2006/relationships/image" Target="media/image22.jpg"/><Relationship Id="rId45" Type="http://schemas.openxmlformats.org/officeDocument/2006/relationships/image" Target="media/image23.jpg"/><Relationship Id="rId46" Type="http://schemas.openxmlformats.org/officeDocument/2006/relationships/image" Target="media/image24.jpg"/><Relationship Id="rId47" Type="http://schemas.openxmlformats.org/officeDocument/2006/relationships/image" Target="media/image25.png"/><Relationship Id="rId48" Type="http://schemas.openxmlformats.org/officeDocument/2006/relationships/image" Target="media/image26.jpg"/><Relationship Id="rId49" Type="http://schemas.openxmlformats.org/officeDocument/2006/relationships/image" Target="media/image27.jpg"/><Relationship Id="rId50" Type="http://schemas.openxmlformats.org/officeDocument/2006/relationships/image" Target="media/image28.jpg"/><Relationship Id="rId51" Type="http://schemas.openxmlformats.org/officeDocument/2006/relationships/image" Target="media/image2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riarating.ru/infografika/20241223/630274686.html" TargetMode="External"/><Relationship Id="rId2" Type="http://schemas.openxmlformats.org/officeDocument/2006/relationships/hyperlink" Target="https://riarating.ru/infografika/20251222/630290560.html" TargetMode="External"/><Relationship Id="rId3" Type="http://schemas.openxmlformats.org/officeDocument/2006/relationships/hyperlink" Target="https://rosstat.gov.ru/compendium/document/13284" TargetMode="External"/><Relationship Id="rId4" Type="http://schemas.openxmlformats.org/officeDocument/2006/relationships/hyperlink" Target="https://72.rosstat.gov.ru/ofs_demp_hmao"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837CF-0C5B-4BB4-82DA-AEE5BBB8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Р7-Офис/7.3.3.0</Application>
  <Company>HP</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FilippenkovaOI</cp:lastModifiedBy>
  <cp:revision>5</cp:revision>
  <dcterms:created xsi:type="dcterms:W3CDTF">2026-03-23T05:31:00Z</dcterms:created>
  <dcterms:modified xsi:type="dcterms:W3CDTF">2026-03-23T07:39:04Z</dcterms:modified>
</cp:coreProperties>
</file>