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05" w:rsidRPr="00165F05" w:rsidRDefault="00165F05" w:rsidP="00165F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 Счетной палаты</w:t>
      </w:r>
    </w:p>
    <w:p w:rsidR="00C147E0" w:rsidRDefault="00165F05" w:rsidP="00087F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F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декабря 2020 года № 16</w:t>
      </w:r>
      <w:r w:rsidR="0008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F03" w:rsidRPr="00087F0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87F03" w:rsidRPr="00087F03">
        <w:rPr>
          <w:rFonts w:ascii="Times New Roman" w:hAnsi="Times New Roman" w:cs="Times New Roman"/>
          <w:sz w:val="24"/>
          <w:szCs w:val="24"/>
        </w:rPr>
        <w:t>с изменениями от 10.02.2021 № 1</w:t>
      </w:r>
      <w:r w:rsidR="006A4C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7F03" w:rsidRPr="00692364" w:rsidRDefault="006A4CE9" w:rsidP="00087F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26.04.2021</w:t>
      </w:r>
      <w:r w:rsidR="00C147E0">
        <w:rPr>
          <w:rFonts w:ascii="Times New Roman" w:hAnsi="Times New Roman" w:cs="Times New Roman"/>
          <w:sz w:val="24"/>
          <w:szCs w:val="24"/>
        </w:rPr>
        <w:t xml:space="preserve"> </w:t>
      </w:r>
      <w:r w:rsidR="00C147E0" w:rsidRPr="00A258FB">
        <w:rPr>
          <w:rFonts w:ascii="Times New Roman" w:hAnsi="Times New Roman" w:cs="Times New Roman"/>
          <w:sz w:val="24"/>
          <w:szCs w:val="24"/>
        </w:rPr>
        <w:t xml:space="preserve">№ 2, </w:t>
      </w:r>
      <w:r w:rsidR="00C147E0">
        <w:rPr>
          <w:rFonts w:ascii="Times New Roman" w:hAnsi="Times New Roman" w:cs="Times New Roman"/>
          <w:sz w:val="24"/>
          <w:szCs w:val="24"/>
        </w:rPr>
        <w:t>от 17.05.2021 № 4</w:t>
      </w:r>
      <w:r w:rsidR="007813D9">
        <w:rPr>
          <w:rFonts w:ascii="Times New Roman" w:hAnsi="Times New Roman" w:cs="Times New Roman"/>
          <w:sz w:val="24"/>
          <w:szCs w:val="24"/>
        </w:rPr>
        <w:t>, от 29.06.2021 № 5</w:t>
      </w:r>
      <w:r w:rsidR="007F4CED">
        <w:rPr>
          <w:rFonts w:ascii="Times New Roman" w:hAnsi="Times New Roman" w:cs="Times New Roman"/>
          <w:sz w:val="24"/>
          <w:szCs w:val="24"/>
        </w:rPr>
        <w:t>, от 16.08.2</w:t>
      </w:r>
      <w:bookmarkStart w:id="0" w:name="_GoBack"/>
      <w:bookmarkEnd w:id="0"/>
      <w:r w:rsidR="00CE70D7">
        <w:rPr>
          <w:rFonts w:ascii="Times New Roman" w:hAnsi="Times New Roman" w:cs="Times New Roman"/>
          <w:sz w:val="24"/>
          <w:szCs w:val="24"/>
        </w:rPr>
        <w:t>021 № 8</w:t>
      </w:r>
      <w:r w:rsidR="00087F03" w:rsidRPr="00087F03">
        <w:rPr>
          <w:rFonts w:ascii="Times New Roman" w:hAnsi="Times New Roman" w:cs="Times New Roman"/>
          <w:sz w:val="24"/>
          <w:szCs w:val="24"/>
        </w:rPr>
        <w:t>)</w:t>
      </w:r>
    </w:p>
    <w:p w:rsidR="00165F05" w:rsidRPr="00165F05" w:rsidRDefault="00165F05" w:rsidP="00165F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F05" w:rsidRPr="00165F05" w:rsidRDefault="003241F0" w:rsidP="00165F05">
      <w:pPr>
        <w:spacing w:after="0" w:line="240" w:lineRule="auto"/>
        <w:rPr>
          <w:sz w:val="24"/>
          <w:szCs w:val="24"/>
        </w:rPr>
      </w:pPr>
      <w:r w:rsidRPr="00165F05">
        <w:rPr>
          <w:sz w:val="24"/>
          <w:szCs w:val="24"/>
        </w:rPr>
        <w:tab/>
      </w:r>
      <w:r w:rsidRPr="00165F05">
        <w:rPr>
          <w:sz w:val="24"/>
          <w:szCs w:val="24"/>
        </w:rPr>
        <w:tab/>
      </w:r>
      <w:r w:rsidRPr="00165F05">
        <w:rPr>
          <w:sz w:val="24"/>
          <w:szCs w:val="24"/>
        </w:rPr>
        <w:tab/>
      </w:r>
      <w:r w:rsidRPr="00165F05">
        <w:rPr>
          <w:sz w:val="24"/>
          <w:szCs w:val="24"/>
        </w:rPr>
        <w:tab/>
      </w:r>
      <w:r w:rsidRPr="00165F05">
        <w:rPr>
          <w:sz w:val="24"/>
          <w:szCs w:val="24"/>
        </w:rPr>
        <w:tab/>
      </w:r>
      <w:r w:rsidRPr="00165F05">
        <w:rPr>
          <w:sz w:val="24"/>
          <w:szCs w:val="24"/>
        </w:rPr>
        <w:tab/>
      </w:r>
      <w:r w:rsidRPr="00165F05">
        <w:rPr>
          <w:sz w:val="24"/>
          <w:szCs w:val="24"/>
        </w:rPr>
        <w:tab/>
      </w:r>
      <w:r w:rsidRPr="00165F05">
        <w:rPr>
          <w:sz w:val="24"/>
          <w:szCs w:val="24"/>
        </w:rPr>
        <w:tab/>
      </w:r>
      <w:r w:rsidRPr="00165F05">
        <w:rPr>
          <w:sz w:val="24"/>
          <w:szCs w:val="24"/>
        </w:rPr>
        <w:tab/>
      </w:r>
      <w:r w:rsidRPr="00165F05">
        <w:rPr>
          <w:sz w:val="24"/>
          <w:szCs w:val="24"/>
        </w:rPr>
        <w:tab/>
      </w:r>
    </w:p>
    <w:p w:rsidR="003241F0" w:rsidRPr="00165F05" w:rsidRDefault="003241F0" w:rsidP="00165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3241F0" w:rsidRPr="00165F05" w:rsidRDefault="003241F0" w:rsidP="00165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контрольно-счетного органа муниципального образования -счетной палаты города Нижневартовска на 2021 год</w:t>
      </w:r>
    </w:p>
    <w:p w:rsidR="003241F0" w:rsidRPr="00CC0F74" w:rsidRDefault="003241F0" w:rsidP="00CC0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916"/>
        <w:gridCol w:w="7836"/>
        <w:gridCol w:w="2268"/>
        <w:gridCol w:w="2409"/>
        <w:gridCol w:w="1899"/>
        <w:gridCol w:w="17"/>
      </w:tblGrid>
      <w:tr w:rsidR="003241F0" w:rsidRPr="00CC0F74" w:rsidTr="003241F0">
        <w:trPr>
          <w:trHeight w:val="682"/>
          <w:tblHeader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проведения мероприятия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 для включения мероприятия в план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41F0" w:rsidRPr="00CC0F74" w:rsidTr="00CC0F74">
        <w:trPr>
          <w:gridAfter w:val="1"/>
          <w:wAfter w:w="17" w:type="dxa"/>
          <w:trHeight w:val="51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 Экспертно-аналитические мероприятия</w:t>
            </w:r>
          </w:p>
        </w:tc>
      </w:tr>
      <w:tr w:rsidR="003241F0" w:rsidRPr="00CC0F74" w:rsidTr="003241F0">
        <w:trPr>
          <w:trHeight w:val="7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проекта решения о бюджете на 2022 год и на плановый период 2023 и 2024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ч 2 ст. 9 Закона 6-ФЗ,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 1 ст. 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CC0F74">
        <w:trPr>
          <w:trHeight w:val="23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проектов решений «О внесении изменений в решение «О бюджете на 2021 год и на плановый период 2022 и 2023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FB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2,7 ч 2 ст. 9 Закона 6-ФЗ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CC0F74">
        <w:trPr>
          <w:trHeight w:val="8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проектов муниципальных правовых актов, регулирующих бюджетные правоотношения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FB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5 календарных дней с момента поступления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 2 ст. 157 БК РФ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ч.2 ст.9 Закона 6-ФЗ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п.8 ст.22 Регламента Счетной палаты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3241F0" w:rsidRPr="00CC0F74" w:rsidTr="00CC0F74">
        <w:trPr>
          <w:trHeight w:val="966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 же муниципальных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FB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5 </w:t>
            </w:r>
            <w:r w:rsidR="00FB316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рабочих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 момента поступления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 157 БК РФ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7 ч 2 ст. 9 Закон 6-ФЗ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п.8 ст.22 Регламента Счетной палаты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3241F0">
        <w:trPr>
          <w:trHeight w:val="83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Внешняя проверка годового отчета об исполнении бюджета города Нижневартовска за 2020 год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ст.264.4 БК РФ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ст.268.1 БК РФ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п.3 ч.2 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организации транспортного обслуживания населения в границах городского округа. Проверка </w:t>
            </w:r>
            <w:r w:rsidRPr="00CC0F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правомерности</w:t>
            </w: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эффективности использования бюджетных средств, выделенных из бюджета города на </w:t>
            </w: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</w:t>
            </w:r>
            <w:r w:rsidR="00CC0F74"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>ализацию основного мероприятия «</w:t>
            </w: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общего пользования на территории городского округа</w:t>
            </w:r>
            <w:r w:rsidR="00CC0F74"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муниципальной программы «Содержание дорожного хозяйства, организация транспортного обслуживания и благоустройство территории города Нижневартовска на 2018 - 2025 годы и на период до 2030 года» в 2020 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май-июнь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7813D9" w:rsidRDefault="007813D9" w:rsidP="00CC0F74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813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действующих систем оплаты труда работников муниципальных учреждений, подведомственных департаменту по социальной политике администрации города Нижневартовска, включая оценку правомерности осуществления стимулирующих и иных выплат работникам учреждений за 2020 год, текущий период 2021 года (выборочная основа)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FA7536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C489E"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юль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CC0F74">
        <w:trPr>
          <w:gridAfter w:val="1"/>
          <w:wAfter w:w="17" w:type="dxa"/>
          <w:trHeight w:val="51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Контрольные мероприятия</w:t>
            </w:r>
          </w:p>
        </w:tc>
      </w:tr>
      <w:tr w:rsidR="003241F0" w:rsidRPr="00CC0F74" w:rsidTr="003241F0">
        <w:trPr>
          <w:trHeight w:val="74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pStyle w:val="Default"/>
              <w:jc w:val="both"/>
              <w:rPr>
                <w:rFonts w:eastAsia="Times New Roman"/>
              </w:rPr>
            </w:pPr>
            <w:r w:rsidRPr="00CC0F74">
              <w:t xml:space="preserve">Проверка законности, результативности (эффективности) использования  средств бюджета города, направленных на реализацию муниципальной программы </w:t>
            </w:r>
            <w:r w:rsidRPr="00CC0F74">
              <w:rPr>
                <w:rFonts w:eastAsiaTheme="minorEastAsia"/>
                <w:lang w:eastAsia="ru-RU"/>
              </w:rPr>
              <w:t>«Развитие социальной сферы города Нижневартовска на 2019 - 2030 годы»</w:t>
            </w:r>
            <w:r w:rsidR="008C489E" w:rsidRPr="00CC0F74">
              <w:rPr>
                <w:rFonts w:eastAsiaTheme="minorEastAsia"/>
                <w:lang w:eastAsia="ru-RU"/>
              </w:rPr>
              <w:t xml:space="preserve"> за 2020 год</w:t>
            </w:r>
            <w:r w:rsidRPr="00CC0F74">
              <w:rPr>
                <w:rFonts w:eastAsiaTheme="minorEastAsia"/>
                <w:lang w:eastAsia="ru-RU"/>
              </w:rPr>
              <w:t xml:space="preserve"> </w:t>
            </w:r>
            <w:r w:rsidRPr="00CC0F74">
              <w:rPr>
                <w:rFonts w:eastAsia="Calibri"/>
              </w:rPr>
              <w:t>(по отдельным мероприятиям)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п.4 ч.2 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За исключением субсидии СОНКО</w:t>
            </w:r>
          </w:p>
        </w:tc>
      </w:tr>
      <w:tr w:rsidR="003241F0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hAnsi="Times New Roman" w:cs="Times New Roman"/>
                <w:sz w:val="24"/>
                <w:szCs w:val="24"/>
              </w:rPr>
              <w:t xml:space="preserve">Аудит в сфере закупок, осуществляемых департаментом жилищного хозяйства администрации города и его подведомственными учреждениями в 2020 году </w:t>
            </w:r>
            <w:r w:rsidR="00E17835" w:rsidRPr="00CC0F74">
              <w:rPr>
                <w:rFonts w:ascii="Times New Roman" w:hAnsi="Times New Roman" w:cs="Times New Roman"/>
                <w:sz w:val="24"/>
                <w:szCs w:val="24"/>
              </w:rPr>
              <w:t>(на выборочной основе)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98 Закона 44-ФЗ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097C37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отчетности Департаментом жилищно-коммунального хозяйства администрации города за 2020 год  в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268.1 БК РФ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097C37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отчетности Департаментом образования администрации города за 2020 год в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268.1 БК РФ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8C7FE8">
        <w:trPr>
          <w:trHeight w:val="30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097C37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отчетности Департаментом по социальной политике администрации города за 2020 год в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268.1 БК РФ</w:t>
            </w:r>
          </w:p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FE8" w:rsidRPr="00CC0F74" w:rsidTr="00E620A8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E8" w:rsidRPr="00CC0F74" w:rsidRDefault="008C7FE8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E8" w:rsidRPr="00565130" w:rsidRDefault="00087F03" w:rsidP="00BC20F3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Исключен постановлением от </w:t>
            </w:r>
            <w:r w:rsidR="00BC20F3"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BC20F3"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BC20F3"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</w:t>
            </w:r>
            <w:r w:rsidR="00BC20F3"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E8" w:rsidRPr="00CC0F74" w:rsidRDefault="008C7FE8" w:rsidP="00CC0F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E8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E8" w:rsidRPr="00CC0F74" w:rsidRDefault="008C7FE8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FE8" w:rsidRPr="00CC0F74" w:rsidTr="008C7FE8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E8" w:rsidRPr="00CC0F74" w:rsidRDefault="008C7FE8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E8" w:rsidRPr="00CC0F74" w:rsidRDefault="008C7FE8" w:rsidP="00CC0F74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отчетности Департаментом финансов администрации города за 2020 год в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E8" w:rsidRPr="00CC0F74" w:rsidRDefault="008C7FE8" w:rsidP="00CC0F7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E8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268.1 БК РФ</w:t>
            </w:r>
          </w:p>
          <w:p w:rsidR="008C7FE8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E8" w:rsidRPr="00CC0F74" w:rsidRDefault="008C7FE8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FE8" w:rsidRPr="00CC0F74" w:rsidTr="008C7FE8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E8" w:rsidRPr="00CC0F74" w:rsidRDefault="008C7FE8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E8" w:rsidRPr="00CC0F74" w:rsidRDefault="008C7FE8" w:rsidP="00CC0F74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отчетности Администрацией города за 2020 год в </w:t>
            </w: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(на выборочной основе)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E8" w:rsidRPr="00CC0F74" w:rsidRDefault="008C7FE8" w:rsidP="00CC0F7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E8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268.1 БК РФ</w:t>
            </w:r>
          </w:p>
          <w:p w:rsidR="008C7FE8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E8" w:rsidRPr="00CC0F74" w:rsidRDefault="008C7FE8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3DF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Pr="00CC0F74" w:rsidRDefault="00097C37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DF" w:rsidRPr="00CC0F74" w:rsidRDefault="00C363DF" w:rsidP="00CC0F74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hAnsi="Times New Roman" w:cs="Times New Roman"/>
                <w:sz w:val="24"/>
                <w:szCs w:val="24"/>
              </w:rPr>
              <w:t>Правомерность расходования бюджетных средств и эффективность использования имущества, созданного по результатам исполнения основного мероприятия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 муниципальной программы «Капитальное строительство и реконструкция объектов города Нижневартовска на 2018 - 2025 годы и на период до 2030 года» за период 2019-2020 год</w:t>
            </w:r>
            <w:r w:rsidR="00CC0F7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Pr="00CC0F74" w:rsidRDefault="00C363DF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Pr="00CC0F74" w:rsidRDefault="00C363DF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8C7FE8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097C37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before="240"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Проверка соблюдения учреждениями, подведомственными Департаменту по социальной политике администрации города Нижневартовска требований к составлению годовой бухгалтерской отчетности за 2020 год (на выборочной основе)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9F" w:rsidRPr="00CC0F74" w:rsidRDefault="00077D9F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268.1 БК РФ</w:t>
            </w:r>
          </w:p>
          <w:p w:rsidR="00077D9F" w:rsidRPr="00CC0F74" w:rsidRDefault="00077D9F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097C37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before="240"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правомерности предоставления субсидии на опубликование муниципальных правовых актов и иной официальной информации, </w:t>
            </w:r>
            <w:r w:rsidR="00CC0F74">
              <w:rPr>
                <w:rFonts w:ascii="Times New Roman" w:eastAsia="Calibri" w:hAnsi="Times New Roman" w:cs="Times New Roman"/>
                <w:sz w:val="24"/>
                <w:szCs w:val="24"/>
              </w:rPr>
              <w:t>а также</w:t>
            </w: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расходования бюджетных средств на </w:t>
            </w:r>
            <w:r w:rsidRPr="00CC0F74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города о деятельности органов местного самоуправления города Нижневартовска</w:t>
            </w: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2020 году</w:t>
            </w:r>
            <w:r w:rsidRPr="00CC0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CC0F74">
        <w:trPr>
          <w:trHeight w:val="57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097C37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hAnsi="Times New Roman" w:cs="Times New Roman"/>
                <w:sz w:val="24"/>
                <w:szCs w:val="24"/>
              </w:rPr>
              <w:t>Проверка законности формирования резервного фонда администрации города, а также правомерности и эффективности использования бюджетных средств данного фонда, выделенных в 2019-2020 годах</w:t>
            </w:r>
            <w:r w:rsidR="008C489E" w:rsidRPr="00CC0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097C37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pStyle w:val="Default"/>
              <w:jc w:val="both"/>
            </w:pPr>
            <w:r w:rsidRPr="00CC0F74">
              <w:t xml:space="preserve">Проверка законности, результативности (эффективности) использования средств бюджета города, направленных на реализацию муниципальной </w:t>
            </w:r>
            <w:r w:rsidRPr="00CC0F74">
              <w:lastRenderedPageBreak/>
              <w:t xml:space="preserve">программы </w:t>
            </w:r>
            <w:r w:rsidR="00CC0F74">
              <w:rPr>
                <w:rFonts w:eastAsia="Times New Roman"/>
                <w:lang w:eastAsia="ru-RU"/>
              </w:rPr>
              <w:t>«</w:t>
            </w:r>
            <w:r w:rsidRPr="00CC0F74">
              <w:rPr>
                <w:rFonts w:eastAsia="Times New Roman"/>
                <w:lang w:eastAsia="ru-RU"/>
              </w:rPr>
              <w:t>Развитие образования города Нижневартовска на 2018 - 2025 годы и на период до 2030 года</w:t>
            </w:r>
            <w:r w:rsidR="00CC0F74">
              <w:rPr>
                <w:rFonts w:eastAsia="Times New Roman"/>
                <w:lang w:eastAsia="ru-RU"/>
              </w:rPr>
              <w:t>»</w:t>
            </w:r>
            <w:r w:rsidRPr="00CC0F74">
              <w:rPr>
                <w:rFonts w:eastAsia="Calibri"/>
              </w:rPr>
              <w:t xml:space="preserve"> за 2020 год (по отдельным мероприятиям)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097C37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3241F0" w:rsidP="00CC0F74">
            <w:pPr>
              <w:pStyle w:val="Default"/>
              <w:jc w:val="both"/>
              <w:rPr>
                <w:rFonts w:eastAsia="Calibri"/>
              </w:rPr>
            </w:pPr>
            <w:r w:rsidRPr="00CC0F74">
              <w:t xml:space="preserve">Проверка законности, результативности (эффективности) использования средств бюджета города, направленных на реализацию муниципальной программы </w:t>
            </w:r>
            <w:r w:rsidR="00CC0F74">
              <w:rPr>
                <w:rFonts w:eastAsia="Times New Roman"/>
                <w:lang w:eastAsia="ru-RU"/>
              </w:rPr>
              <w:t>«</w:t>
            </w:r>
            <w:r w:rsidRPr="00CC0F74">
              <w:rPr>
                <w:rFonts w:eastAsia="Times New Roman"/>
                <w:lang w:eastAsia="ru-RU"/>
              </w:rPr>
              <w:t>Развитие жилищно-коммунального хозяйства города Нижневартовска на 2018 - 2025 годы и на период до 2030 года</w:t>
            </w:r>
            <w:r w:rsidR="00CC0F74">
              <w:rPr>
                <w:rFonts w:eastAsia="Times New Roman"/>
                <w:lang w:eastAsia="ru-RU"/>
              </w:rPr>
              <w:t>»</w:t>
            </w:r>
            <w:r w:rsidRPr="00CC0F74">
              <w:rPr>
                <w:rFonts w:eastAsia="Calibri"/>
              </w:rPr>
              <w:t xml:space="preserve"> за 2020 год, (по отдельным мероприятиям)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8C7FE8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077D9F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ED1E22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C363DF" w:rsidP="00CC0F74">
            <w:pPr>
              <w:pStyle w:val="Default"/>
              <w:jc w:val="both"/>
            </w:pPr>
            <w:r w:rsidRPr="00CC0F74">
              <w:rPr>
                <w:rFonts w:eastAsia="Calibri"/>
                <w:color w:val="auto"/>
              </w:rPr>
              <w:t xml:space="preserve">Проверка правомерности и результативности планирования и использования средств, предоставленных из бюджета города Нижневартовска в 2020 году </w:t>
            </w:r>
            <w:r w:rsidRPr="00CC0F74">
              <w:rPr>
                <w:rFonts w:eastAsia="Times New Roman"/>
                <w:color w:val="auto"/>
                <w:lang w:eastAsia="ru-RU"/>
              </w:rPr>
              <w:t xml:space="preserve">и текущем периоде 2021 года </w:t>
            </w:r>
            <w:r w:rsidRPr="00CC0F74">
              <w:rPr>
                <w:rFonts w:eastAsia="Calibri"/>
                <w:color w:val="auto"/>
              </w:rPr>
              <w:t xml:space="preserve">в виде субсидии на выполнение муниципальной работы </w:t>
            </w:r>
            <w:r w:rsidRPr="00CC0F74">
              <w:rPr>
                <w:color w:val="auto"/>
              </w:rPr>
              <w:t>«Организация благоустройства и озеленения»</w:t>
            </w:r>
            <w:r w:rsidR="00097C37" w:rsidRPr="00CC0F74">
              <w:rPr>
                <w:color w:val="FF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AD06A1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C363DF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C37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7" w:rsidRPr="00CC0F74" w:rsidRDefault="00ED1E22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7" w:rsidRPr="00CC0F74" w:rsidRDefault="00097C37" w:rsidP="00CC0F74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CC0F74">
              <w:rPr>
                <w:color w:val="auto"/>
              </w:rPr>
              <w:t>Проверка законности и эффективности осуществления закупок на объект</w:t>
            </w:r>
            <w:r w:rsidR="00CC0F74">
              <w:rPr>
                <w:color w:val="auto"/>
              </w:rPr>
              <w:t>е</w:t>
            </w:r>
            <w:r w:rsidRPr="00CC0F74">
              <w:rPr>
                <w:color w:val="auto"/>
              </w:rPr>
              <w:t xml:space="preserve">: </w:t>
            </w:r>
            <w:hyperlink r:id="rId5" w:history="1">
              <w:r w:rsidRPr="00CC0F74">
                <w:rPr>
                  <w:rStyle w:val="a3"/>
                  <w:color w:val="auto"/>
                </w:rPr>
                <w:t>муниципальное автономное учреждение города Нижневартовска «Дирекция спортивных сооружений»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7" w:rsidRPr="00CC0F74" w:rsidRDefault="00AD06A1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7" w:rsidRPr="00CC0F74" w:rsidRDefault="00097C37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7" w:rsidRPr="00CC0F74" w:rsidRDefault="00097C37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CC0F74">
        <w:trPr>
          <w:trHeight w:val="613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ED1E22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C363DF" w:rsidP="00CC0F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hAnsi="Times New Roman" w:cs="Times New Roman"/>
                <w:sz w:val="24"/>
                <w:szCs w:val="24"/>
              </w:rPr>
              <w:t>Проверка правомерности и эффективности использования бюджетных средств, направленных на благоустройство объекта «</w:t>
            </w:r>
            <w:r w:rsidRPr="00CC0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Сквер Спортивной славы по улице 60 ле</w:t>
            </w:r>
            <w:r w:rsidR="00CC0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 Октября в г. Нижневартовске»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AD06A1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3DF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Pr="00102E0B" w:rsidRDefault="00ED1E22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E0B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DF" w:rsidRPr="00CC0F74" w:rsidRDefault="00C363DF" w:rsidP="00CC0F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и целевого использования имущества и средств, полученных из бюджета города в форме субсидий, а также достижений показателей муниципального задания МАУДО города Нижневартовска «Детская школа искусств №2» за 2020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Pr="00CC0F74" w:rsidRDefault="00AD06A1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Pr="00CC0F74" w:rsidRDefault="00C363DF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DF" w:rsidRPr="00CC0F74" w:rsidRDefault="00C363DF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565130">
        <w:trPr>
          <w:trHeight w:val="29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102E0B" w:rsidRDefault="00ED1E22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E0B"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DF" w:rsidRPr="00565130" w:rsidRDefault="00565130" w:rsidP="0056513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Исключен постановлением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.2021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102E0B" w:rsidRDefault="00ED1E22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E0B"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C363DF" w:rsidP="00CC0F7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эффективности и целевого использования имущества и средств, полученных из бюджета города в форме субсидий, а также достижений показателей муниципального задания МАУДО города Нижневартовска «Детская школа искусств №3» за 2020 год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AD06A1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C363DF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F0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102E0B" w:rsidRDefault="00ED1E22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E0B"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0" w:rsidRPr="00CC0F74" w:rsidRDefault="002633D7" w:rsidP="00CC0F74">
            <w:pPr>
              <w:spacing w:before="240" w:after="24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МАДОУ </w:t>
            </w:r>
            <w:r w:rsidRPr="00CC0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Нижневартовска ДС № 41 «Росинка» и членов их семей, за 2020 – 2021 годы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AD06A1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0" w:rsidRPr="00CC0F74" w:rsidRDefault="003241F0" w:rsidP="00CC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0" w:rsidRPr="00CC0F74" w:rsidRDefault="003241F0" w:rsidP="00CC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CE9" w:rsidRPr="00CC0F74" w:rsidTr="003241F0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02E0B" w:rsidRDefault="006A4CE9" w:rsidP="006A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E0B">
              <w:rPr>
                <w:rFonts w:ascii="Times New Roman" w:eastAsia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E9" w:rsidRPr="00CC0F74" w:rsidRDefault="006A4CE9" w:rsidP="006A4CE9">
            <w:pPr>
              <w:spacing w:before="240" w:after="24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hAnsi="Times New Roman" w:cs="Times New Roman"/>
                <w:sz w:val="24"/>
                <w:szCs w:val="24"/>
              </w:rPr>
              <w:t>Проверка расходования средств бюджета города, предоставленных в 2020 году и текущем периоде 2021 года учреждениям, подведомственным департаменту по социальной политике администрации города на ремонт зданий и сооружений (на выборочной основе)</w:t>
            </w:r>
            <w:hyperlink r:id="rId6" w:history="1">
              <w:r w:rsidRPr="00CC0F74">
                <w:rPr>
                  <w:rStyle w:val="a3"/>
                  <w:rFonts w:ascii="Times New Roman" w:hAnsi="Times New Roman" w:cs="Times New Roman"/>
                  <w:cap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CC0F74" w:rsidRDefault="006A4CE9" w:rsidP="006A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CC0F74" w:rsidRDefault="006A4CE9" w:rsidP="006A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CC0F74" w:rsidRDefault="006A4CE9" w:rsidP="006A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CE9" w:rsidRPr="00CC0F74" w:rsidTr="00311534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102E0B" w:rsidRDefault="006A4CE9" w:rsidP="006A4C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E0B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6A4CE9" w:rsidRDefault="006A4CE9" w:rsidP="00810C2B">
            <w:pPr>
              <w:pBdr>
                <w:top w:val="dotted" w:sz="6" w:space="6" w:color="949DA8"/>
              </w:pBdr>
              <w:spacing w:after="0" w:line="240" w:lineRule="auto"/>
              <w:ind w:right="14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исполнения решения Думы города Нижневартовска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4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бюджете города Нижневартовска на 2020 год и на плановый период 2021 и 2022 годов» в Думе города Нижневартовска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F7621B" w:rsidRDefault="006A4CE9" w:rsidP="006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6A4CE9" w:rsidRPr="00F7621B" w:rsidRDefault="006A4CE9" w:rsidP="006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F7621B" w:rsidRDefault="006A4CE9" w:rsidP="006A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B">
              <w:rPr>
                <w:rFonts w:ascii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E9" w:rsidRPr="00CC0F74" w:rsidRDefault="006A4CE9" w:rsidP="006A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7B37CA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102E0B" w:rsidRDefault="00CE70D7" w:rsidP="00CE70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E0B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D7" w:rsidRPr="00565130" w:rsidRDefault="00CE70D7" w:rsidP="00CE70D7">
            <w:pPr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Исключен постановлением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16.08.2</w:t>
            </w:r>
            <w:r w:rsidRPr="00565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021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F7621B" w:rsidRDefault="00CE70D7" w:rsidP="00C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F7621B" w:rsidRDefault="00CE70D7" w:rsidP="00C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11534">
        <w:trPr>
          <w:trHeight w:val="50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102E0B" w:rsidRDefault="00CE70D7" w:rsidP="00CE70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E0B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A258FB" w:rsidRDefault="00CE70D7" w:rsidP="00CE70D7">
            <w:pPr>
              <w:pBdr>
                <w:top w:val="dotted" w:sz="6" w:space="6" w:color="949DA8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8F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использования средств бюджета города Нижневартовска, направленных в 2020 году на реализацию основного мероприятия «Улучшение жилищных условий ветеранов Великой Отечественной войны, ветеранов боевых действий, инвалидов и семей, имеющих детей-инвалидов» муниципальной программы «Социальная поддержка и социальная помощь для отдельных категорий граждан в городе Нижневартовске на 2018 - 2025 годы и на период до 2030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F7621B" w:rsidRDefault="00CE70D7" w:rsidP="00C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621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E70D7" w:rsidRPr="00F7621B" w:rsidRDefault="00CE70D7" w:rsidP="00C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F7621B" w:rsidRDefault="00CE70D7" w:rsidP="00C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B">
              <w:rPr>
                <w:rFonts w:ascii="Times New Roman" w:hAnsi="Times New Roman" w:cs="Times New Roman"/>
                <w:sz w:val="24"/>
                <w:szCs w:val="24"/>
              </w:rPr>
              <w:t>ст.9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gridAfter w:val="1"/>
          <w:wAfter w:w="17" w:type="dxa"/>
          <w:trHeight w:val="70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CE70D7" w:rsidRPr="00CC0F74" w:rsidTr="00CC0F74">
        <w:trPr>
          <w:trHeight w:val="36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рабочего совещания с объектами муниципального финансового контроля  по результатам проведенных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п.8 ч.2 ст. 9 Закона 6-ФЗ,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8 ч. 2 ст. 9 Закон 6-ФЗ,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2 ст.157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прокуратурой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 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9 ч.1 ст. 14 Закона 6-ФЗ, ч.7 ст. 28.3 КоАП РФ Закон ХМАО-Югры 102-оз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оснований по окончании контрольного мероприятия в сроки установленные СФК Счетной палаты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16 Закона 6-ФЗ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ст.270.2 БК РФ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судебно-претензионной работе по защите прав и законных интересов 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принятием мер по устранению выявленных 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FB3162">
        <w:trPr>
          <w:gridAfter w:val="1"/>
          <w:wAfter w:w="17" w:type="dxa"/>
          <w:trHeight w:val="51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Правовое, методологическое обеспечение деятельности и кадровая работа МКСО</w:t>
            </w: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утверждение стандартов внешнего муниципального финансового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11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утверждение стандартов организации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утверждение документов, связанных с методологическим обеспечением деятельности Счетной палаты, выработки единых подходов к осуществлению своей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практического опыта работы контрольно-счётных органов Российской Федерации, внесение предложений по его внедрению в работу 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по повышению квалификации сотрудников 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года, согласно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утвержденному графику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7 ч. 1 ст. 11 Закона 25-ФЗ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gridAfter w:val="1"/>
          <w:wAfter w:w="17" w:type="dxa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Организационная работа</w:t>
            </w:r>
          </w:p>
        </w:tc>
      </w:tr>
      <w:tr w:rsidR="00CE70D7" w:rsidRPr="00CC0F74" w:rsidTr="00FB3162">
        <w:trPr>
          <w:trHeight w:val="288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утверждение плана работы Счетной палаты на 2022 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12 Закона 6-ФЗ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 МКСО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ежегодного отчета о деятельности Счетной палаты  в представительный орган муниципального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рабочих совещаний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trHeight w:val="103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запросов и обращений по вопросам, входящим в компетенцию 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необходимости, при поступлении запросов и обращений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номенклатуры дел Счетной палаты 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Правила работы архивов» организаций»</w:t>
            </w:r>
          </w:p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(одобрены решением Коллегии </w:t>
            </w:r>
            <w:proofErr w:type="spellStart"/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Росархива</w:t>
            </w:r>
            <w:proofErr w:type="spellEnd"/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06.02.2002)</w:t>
            </w:r>
          </w:p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Минкультуры РФ от 25.08.2010 N 558</w:t>
            </w:r>
          </w:p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заседаний Коллегии 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Ст.15 Положения о Счетной палате города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gridAfter w:val="1"/>
          <w:wAfter w:w="17" w:type="dxa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Противодействие коррупции</w:t>
            </w: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года, согласно утвержденно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ст.1 Закона 44-ФЗ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10 ч. 2 ст. 9 Закон 6-ФЗ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25.12.2008 № 273-ФЗ «О противодействии коррупции»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gridAfter w:val="1"/>
          <w:wAfter w:w="17" w:type="dxa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Информационная деятельность</w:t>
            </w: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сети «Интернет» информации о деятельности 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в сроки установленные Регламентом Счетной палаты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ind w:lef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14 </w:t>
            </w:r>
            <w:r w:rsidRPr="00CC0F74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</w:t>
            </w:r>
            <w:r w:rsidRPr="00B10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принятых по ним решениях и мерах, ежегодных отчетов о деятельности Счетной </w:t>
            </w: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в сроки установленные Регламентом Счетной палаты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п. 9 ч. 2 ст. 9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gridAfter w:val="1"/>
          <w:wAfter w:w="17" w:type="dxa"/>
          <w:jc w:val="center"/>
        </w:trPr>
        <w:tc>
          <w:tcPr>
            <w:tcW w:w="1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943634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Взаимодействие с другими органами</w:t>
            </w: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FB3162">
        <w:trPr>
          <w:trHeight w:val="57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Совета контрольно-счётных органов Ханты-Мансийского автономного округа-Югры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работы Совета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совещаниях и заседаниях представительного органа муниципального органа и его комитетов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D7" w:rsidRPr="00CC0F74" w:rsidTr="003241F0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совещаниях исполнительного органа местного самоуправления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74">
              <w:rPr>
                <w:rFonts w:ascii="Times New Roman" w:eastAsia="Times New Roman" w:hAnsi="Times New Roman" w:cs="Times New Roman"/>
                <w:sz w:val="24"/>
                <w:szCs w:val="24"/>
              </w:rPr>
              <w:t>ст. 18 Закона 6-ФЗ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D7" w:rsidRPr="00CC0F74" w:rsidRDefault="00CE70D7" w:rsidP="00C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26A8" w:rsidRPr="00CC0F74" w:rsidRDefault="003026A8" w:rsidP="00B10DF7">
      <w:pPr>
        <w:spacing w:line="240" w:lineRule="auto"/>
        <w:rPr>
          <w:sz w:val="24"/>
          <w:szCs w:val="24"/>
        </w:rPr>
      </w:pPr>
    </w:p>
    <w:sectPr w:rsidR="003026A8" w:rsidRPr="00CC0F74" w:rsidSect="00165F0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F0"/>
    <w:rsid w:val="00077D9F"/>
    <w:rsid w:val="00087F03"/>
    <w:rsid w:val="00097C37"/>
    <w:rsid w:val="00102E0B"/>
    <w:rsid w:val="00165F05"/>
    <w:rsid w:val="001B4CB8"/>
    <w:rsid w:val="00255605"/>
    <w:rsid w:val="002633D7"/>
    <w:rsid w:val="003026A8"/>
    <w:rsid w:val="003241F0"/>
    <w:rsid w:val="003604D0"/>
    <w:rsid w:val="00467BB5"/>
    <w:rsid w:val="00565130"/>
    <w:rsid w:val="00690A01"/>
    <w:rsid w:val="006A3ECF"/>
    <w:rsid w:val="006A4CE9"/>
    <w:rsid w:val="006E10D5"/>
    <w:rsid w:val="006F6E87"/>
    <w:rsid w:val="007813D9"/>
    <w:rsid w:val="0078357A"/>
    <w:rsid w:val="007F4CED"/>
    <w:rsid w:val="00810C2B"/>
    <w:rsid w:val="00866919"/>
    <w:rsid w:val="008A0874"/>
    <w:rsid w:val="008C489E"/>
    <w:rsid w:val="008C7FE8"/>
    <w:rsid w:val="008E3BD2"/>
    <w:rsid w:val="00954F31"/>
    <w:rsid w:val="00960DA8"/>
    <w:rsid w:val="00972CE4"/>
    <w:rsid w:val="00A258FB"/>
    <w:rsid w:val="00AD06A1"/>
    <w:rsid w:val="00B10DF7"/>
    <w:rsid w:val="00BA7426"/>
    <w:rsid w:val="00BC20F3"/>
    <w:rsid w:val="00C147E0"/>
    <w:rsid w:val="00C208D5"/>
    <w:rsid w:val="00C363DF"/>
    <w:rsid w:val="00C53725"/>
    <w:rsid w:val="00CC0F74"/>
    <w:rsid w:val="00CE70D7"/>
    <w:rsid w:val="00E17835"/>
    <w:rsid w:val="00E620A8"/>
    <w:rsid w:val="00EB2AA2"/>
    <w:rsid w:val="00EB5D31"/>
    <w:rsid w:val="00ED1E22"/>
    <w:rsid w:val="00F7621B"/>
    <w:rsid w:val="00FA7536"/>
    <w:rsid w:val="00FB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138B"/>
  <w15:docId w15:val="{4D9AF84A-986F-4268-AF1D-D68DA1EB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1F0"/>
    <w:rPr>
      <w:strike w:val="0"/>
      <w:dstrike w:val="0"/>
      <w:color w:val="23527C"/>
      <w:u w:val="none"/>
      <w:effect w:val="none"/>
    </w:rPr>
  </w:style>
  <w:style w:type="paragraph" w:customStyle="1" w:styleId="Default">
    <w:name w:val="Default"/>
    <w:rsid w:val="00324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-vartovsk.ru/town/organizations/1111.html" TargetMode="External"/><Relationship Id="rId5" Type="http://schemas.openxmlformats.org/officeDocument/2006/relationships/hyperlink" Target="https://www.n-vartovsk.ru/town/organizations/11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0A36-22C1-40DC-A5AB-1A244256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Ахметова Алина Сагидулловна</cp:lastModifiedBy>
  <cp:revision>5</cp:revision>
  <cp:lastPrinted>2020-12-24T06:34:00Z</cp:lastPrinted>
  <dcterms:created xsi:type="dcterms:W3CDTF">2021-08-23T05:24:00Z</dcterms:created>
  <dcterms:modified xsi:type="dcterms:W3CDTF">2021-08-23T05:28:00Z</dcterms:modified>
</cp:coreProperties>
</file>