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CE" w:rsidRPr="0062439F" w:rsidRDefault="00C9219A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  <w:t xml:space="preserve">Дата </w:t>
      </w:r>
      <w:r w:rsidR="0062439F">
        <w:rPr>
          <w:rFonts w:ascii="Times New Roman" w:hAnsi="Times New Roman" w:cs="Times New Roman"/>
        </w:rPr>
        <w:t>___________</w:t>
      </w: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Pr="009E268D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6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2439F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640A0D" w:rsidRPr="006B2C1A" w:rsidTr="00994E9C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Статус субъекта МСП</w:t>
            </w:r>
          </w:p>
        </w:tc>
        <w:tc>
          <w:tcPr>
            <w:tcW w:w="7797" w:type="dxa"/>
          </w:tcPr>
          <w:p w:rsidR="002F0DA5" w:rsidRPr="0062439F" w:rsidRDefault="002F0DA5" w:rsidP="006B2C1A">
            <w:pPr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640A0D" w:rsidRPr="006B2C1A" w:rsidTr="009E268D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Сумма проекта</w:t>
            </w:r>
          </w:p>
        </w:tc>
        <w:tc>
          <w:tcPr>
            <w:tcW w:w="7797" w:type="dxa"/>
          </w:tcPr>
          <w:p w:rsidR="00A63905" w:rsidRPr="00EA119B" w:rsidRDefault="00A63905" w:rsidP="006B2C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A0D" w:rsidRPr="006B2C1A" w:rsidTr="009E268D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Структура финансирования Проекта</w:t>
            </w:r>
          </w:p>
        </w:tc>
        <w:tc>
          <w:tcPr>
            <w:tcW w:w="7797" w:type="dxa"/>
          </w:tcPr>
          <w:p w:rsidR="00640A0D" w:rsidRPr="006B2C1A" w:rsidRDefault="00640A0D" w:rsidP="006B2C1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A0D" w:rsidRPr="006B2C1A" w:rsidTr="009E268D">
        <w:tc>
          <w:tcPr>
            <w:tcW w:w="2830" w:type="dxa"/>
          </w:tcPr>
          <w:p w:rsidR="00640A0D" w:rsidRPr="006B2C1A" w:rsidRDefault="002E0EE2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7797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A0D" w:rsidRPr="006B2C1A" w:rsidTr="009E268D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Банки-кредиторы</w:t>
            </w:r>
          </w:p>
        </w:tc>
        <w:tc>
          <w:tcPr>
            <w:tcW w:w="7797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A0D" w:rsidRPr="006B2C1A" w:rsidTr="009E268D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Гарантия МСП</w:t>
            </w:r>
          </w:p>
        </w:tc>
        <w:tc>
          <w:tcPr>
            <w:tcW w:w="7797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0A0D" w:rsidRPr="006B2C1A" w:rsidTr="00994E9C">
        <w:tc>
          <w:tcPr>
            <w:tcW w:w="2830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Предлагаемое обеспечение</w:t>
            </w:r>
          </w:p>
        </w:tc>
        <w:tc>
          <w:tcPr>
            <w:tcW w:w="7797" w:type="dxa"/>
          </w:tcPr>
          <w:p w:rsidR="00640A0D" w:rsidRPr="006B2C1A" w:rsidRDefault="00640A0D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6D5D3F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Спонсор </w:t>
            </w:r>
            <w:r w:rsidR="002E0EE2"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(инициатор) </w:t>
            </w: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проекта</w:t>
            </w:r>
          </w:p>
        </w:tc>
        <w:tc>
          <w:tcPr>
            <w:tcW w:w="7797" w:type="dxa"/>
          </w:tcPr>
          <w:p w:rsidR="00F67A5F" w:rsidRPr="006B2C1A" w:rsidRDefault="00F67A5F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6D5D3F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Проектная компания</w:t>
            </w:r>
          </w:p>
        </w:tc>
        <w:tc>
          <w:tcPr>
            <w:tcW w:w="7797" w:type="dxa"/>
          </w:tcPr>
          <w:p w:rsidR="00F67A5F" w:rsidRPr="006B2C1A" w:rsidRDefault="00F67A5F" w:rsidP="006B2C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6D5D3F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</w:p>
        </w:tc>
        <w:tc>
          <w:tcPr>
            <w:tcW w:w="7797" w:type="dxa"/>
          </w:tcPr>
          <w:p w:rsidR="00553569" w:rsidRPr="006B2C1A" w:rsidRDefault="00553569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636" w:rsidRPr="006B2C1A" w:rsidTr="00994E9C">
        <w:tc>
          <w:tcPr>
            <w:tcW w:w="2830" w:type="dxa"/>
          </w:tcPr>
          <w:p w:rsidR="00F33636" w:rsidRPr="006B2C1A" w:rsidRDefault="00F33636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Продукт</w:t>
            </w:r>
          </w:p>
        </w:tc>
        <w:tc>
          <w:tcPr>
            <w:tcW w:w="7797" w:type="dxa"/>
          </w:tcPr>
          <w:p w:rsidR="00002331" w:rsidRPr="006B2C1A" w:rsidRDefault="00002331" w:rsidP="0055356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7E0" w:rsidRPr="006B2C1A" w:rsidTr="00994E9C">
        <w:tc>
          <w:tcPr>
            <w:tcW w:w="2830" w:type="dxa"/>
          </w:tcPr>
          <w:p w:rsidR="00C817E0" w:rsidRPr="006B2C1A" w:rsidRDefault="00C817E0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7797" w:type="dxa"/>
          </w:tcPr>
          <w:p w:rsidR="00CB0AF1" w:rsidRPr="006B2C1A" w:rsidRDefault="00CB0AF1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E03" w:rsidRPr="006B2C1A" w:rsidTr="00994E9C">
        <w:tc>
          <w:tcPr>
            <w:tcW w:w="2830" w:type="dxa"/>
          </w:tcPr>
          <w:p w:rsidR="00413E03" w:rsidRPr="006B2C1A" w:rsidRDefault="00413E03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Участок</w:t>
            </w:r>
          </w:p>
        </w:tc>
        <w:tc>
          <w:tcPr>
            <w:tcW w:w="7797" w:type="dxa"/>
          </w:tcPr>
          <w:p w:rsidR="00A92FA4" w:rsidRPr="006B2C1A" w:rsidRDefault="00A92FA4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F30" w:rsidRPr="006B2C1A" w:rsidTr="009E268D">
        <w:tc>
          <w:tcPr>
            <w:tcW w:w="2830" w:type="dxa"/>
          </w:tcPr>
          <w:p w:rsidR="00B05F30" w:rsidRPr="006B2C1A" w:rsidRDefault="00B05F30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</w:t>
            </w:r>
          </w:p>
        </w:tc>
        <w:tc>
          <w:tcPr>
            <w:tcW w:w="7797" w:type="dxa"/>
          </w:tcPr>
          <w:p w:rsidR="002420DB" w:rsidRPr="006B2C1A" w:rsidRDefault="002420DB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431" w:rsidRPr="006B2C1A" w:rsidTr="00994E9C">
        <w:tc>
          <w:tcPr>
            <w:tcW w:w="2830" w:type="dxa"/>
          </w:tcPr>
          <w:p w:rsidR="00726431" w:rsidRPr="006B2C1A" w:rsidRDefault="00726431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Рынок</w:t>
            </w:r>
          </w:p>
        </w:tc>
        <w:tc>
          <w:tcPr>
            <w:tcW w:w="7797" w:type="dxa"/>
          </w:tcPr>
          <w:p w:rsidR="00994057" w:rsidRPr="006B2C1A" w:rsidRDefault="00994057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A0" w:rsidRPr="006B2C1A" w:rsidTr="006B2C1A">
        <w:trPr>
          <w:trHeight w:val="995"/>
        </w:trPr>
        <w:tc>
          <w:tcPr>
            <w:tcW w:w="2830" w:type="dxa"/>
          </w:tcPr>
          <w:p w:rsidR="003936A0" w:rsidRPr="006B2C1A" w:rsidRDefault="003936A0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</w:t>
            </w:r>
          </w:p>
        </w:tc>
        <w:tc>
          <w:tcPr>
            <w:tcW w:w="7797" w:type="dxa"/>
          </w:tcPr>
          <w:p w:rsidR="00994057" w:rsidRPr="006B2C1A" w:rsidRDefault="00994057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08" w:rsidRPr="006B2C1A" w:rsidTr="00994E9C">
        <w:tc>
          <w:tcPr>
            <w:tcW w:w="2830" w:type="dxa"/>
          </w:tcPr>
          <w:p w:rsidR="00521708" w:rsidRPr="006B2C1A" w:rsidRDefault="00521708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Поставщик сырья</w:t>
            </w:r>
          </w:p>
        </w:tc>
        <w:tc>
          <w:tcPr>
            <w:tcW w:w="7797" w:type="dxa"/>
          </w:tcPr>
          <w:p w:rsidR="00F51205" w:rsidRPr="006B2C1A" w:rsidRDefault="00F51205" w:rsidP="006B2C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FA4" w:rsidRPr="006B2C1A" w:rsidTr="00994E9C">
        <w:tc>
          <w:tcPr>
            <w:tcW w:w="2830" w:type="dxa"/>
          </w:tcPr>
          <w:p w:rsidR="00A92FA4" w:rsidRPr="006B2C1A" w:rsidRDefault="00A92FA4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Поставщик / и оборудования</w:t>
            </w:r>
          </w:p>
        </w:tc>
        <w:tc>
          <w:tcPr>
            <w:tcW w:w="7797" w:type="dxa"/>
          </w:tcPr>
          <w:p w:rsidR="00A92FA4" w:rsidRPr="006B2C1A" w:rsidRDefault="00A92FA4" w:rsidP="006B2C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13B" w:rsidRPr="006B2C1A" w:rsidTr="009E268D">
        <w:tc>
          <w:tcPr>
            <w:tcW w:w="2830" w:type="dxa"/>
          </w:tcPr>
          <w:p w:rsidR="00FE413B" w:rsidRPr="006B2C1A" w:rsidRDefault="00FE413B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СМР / генподрядчик</w:t>
            </w:r>
          </w:p>
        </w:tc>
        <w:tc>
          <w:tcPr>
            <w:tcW w:w="7797" w:type="dxa"/>
          </w:tcPr>
          <w:p w:rsidR="004C44A8" w:rsidRPr="006B2C1A" w:rsidRDefault="004C44A8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08" w:rsidRPr="006B2C1A" w:rsidTr="00994E9C">
        <w:tc>
          <w:tcPr>
            <w:tcW w:w="2830" w:type="dxa"/>
          </w:tcPr>
          <w:p w:rsidR="00521708" w:rsidRPr="006B2C1A" w:rsidRDefault="00A92FA4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Проектно-разрешительная документация и экспертиза</w:t>
            </w:r>
          </w:p>
        </w:tc>
        <w:tc>
          <w:tcPr>
            <w:tcW w:w="7797" w:type="dxa"/>
          </w:tcPr>
          <w:p w:rsidR="00907155" w:rsidRPr="006B2C1A" w:rsidRDefault="00907155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13B" w:rsidRPr="006B2C1A" w:rsidTr="00994E9C">
        <w:tc>
          <w:tcPr>
            <w:tcW w:w="2830" w:type="dxa"/>
          </w:tcPr>
          <w:p w:rsidR="00FE413B" w:rsidRPr="006B2C1A" w:rsidRDefault="00FE413B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7797" w:type="dxa"/>
          </w:tcPr>
          <w:p w:rsidR="00FE413B" w:rsidRPr="006B2C1A" w:rsidRDefault="00FE413B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F85B75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Финансовые показатели </w:t>
            </w:r>
            <w:r w:rsidR="0065179C"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Проектной компании / П</w:t>
            </w: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роекта</w:t>
            </w:r>
          </w:p>
        </w:tc>
        <w:tc>
          <w:tcPr>
            <w:tcW w:w="7797" w:type="dxa"/>
          </w:tcPr>
          <w:p w:rsidR="005E7CDD" w:rsidRPr="006B2C1A" w:rsidRDefault="005E7CDD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9D3" w:rsidRPr="006B2C1A" w:rsidTr="00994E9C">
        <w:tc>
          <w:tcPr>
            <w:tcW w:w="2830" w:type="dxa"/>
          </w:tcPr>
          <w:p w:rsidR="003079D3" w:rsidRPr="006B2C1A" w:rsidRDefault="003079D3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Инвестиционные показатели</w:t>
            </w:r>
            <w:r w:rsidR="00F91836"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Проектной компании / Проекта</w:t>
            </w:r>
          </w:p>
        </w:tc>
        <w:tc>
          <w:tcPr>
            <w:tcW w:w="7797" w:type="dxa"/>
          </w:tcPr>
          <w:p w:rsidR="00E135BB" w:rsidRPr="006B2C1A" w:rsidRDefault="00E135BB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A97B4F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7797" w:type="dxa"/>
          </w:tcPr>
          <w:p w:rsidR="002D44EB" w:rsidRPr="006B2C1A" w:rsidRDefault="002D44EB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3F" w:rsidRPr="006B2C1A" w:rsidTr="00994E9C">
        <w:tc>
          <w:tcPr>
            <w:tcW w:w="2830" w:type="dxa"/>
          </w:tcPr>
          <w:p w:rsidR="006D5D3F" w:rsidRPr="006B2C1A" w:rsidRDefault="00F67A5F" w:rsidP="006B2C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>Менеджмент</w:t>
            </w:r>
            <w:r w:rsidR="00F729DD" w:rsidRPr="006B2C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Ключевые лица</w:t>
            </w:r>
          </w:p>
        </w:tc>
        <w:tc>
          <w:tcPr>
            <w:tcW w:w="7797" w:type="dxa"/>
          </w:tcPr>
          <w:p w:rsidR="00F729DD" w:rsidRPr="006B2C1A" w:rsidRDefault="00F729DD" w:rsidP="006B2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6D5D3F">
          <w:footerReference w:type="default" r:id="rId9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5363CE" w:rsidRPr="00A21421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A21421">
        <w:rPr>
          <w:b/>
          <w:noProof/>
        </w:rPr>
        <w:lastRenderedPageBreak/>
        <w:t>Приложение №1. Обоснование бюджета проекта.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8"/>
        <w:gridCol w:w="2693"/>
        <w:gridCol w:w="1275"/>
        <w:gridCol w:w="1276"/>
        <w:gridCol w:w="1276"/>
        <w:gridCol w:w="1559"/>
        <w:gridCol w:w="1701"/>
      </w:tblGrid>
      <w:tr w:rsidR="005363CE" w:rsidRPr="00323B18" w:rsidTr="005363CE">
        <w:trPr>
          <w:trHeight w:val="286"/>
          <w:tblHeader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 xml:space="preserve">№ </w:t>
            </w:r>
            <w:proofErr w:type="gramStart"/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п</w:t>
            </w:r>
            <w:proofErr w:type="gramEnd"/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Заключенные договоры, платежные поручения/другие комментарии</w:t>
            </w:r>
          </w:p>
        </w:tc>
        <w:tc>
          <w:tcPr>
            <w:tcW w:w="7087" w:type="dxa"/>
            <w:gridSpan w:val="5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Источники финансирования</w:t>
            </w:r>
          </w:p>
        </w:tc>
      </w:tr>
      <w:tr w:rsidR="005363CE" w:rsidRPr="00323B18" w:rsidTr="005363CE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Сумма всего,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Собственные средства,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Средства кредитора, тыс. руб.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Остаток к финансированию, за счет собственных средств,</w:t>
            </w: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eastAsia="ru-RU"/>
              </w:rPr>
              <w:t>Остаток к финансированию, за счет кредитора, тыс. руб.</w:t>
            </w:r>
          </w:p>
        </w:tc>
      </w:tr>
      <w:tr w:rsidR="005363CE" w:rsidRPr="00323B18" w:rsidTr="009E268D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Заключение договоров на разработку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Экспертиза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Разрешение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ИНФРАСТРУКТУРА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4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СМР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 xml:space="preserve">  4.2.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85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85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2F7BC0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F7BC0" w:rsidRPr="00323B18" w:rsidRDefault="002F7BC0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2F7BC0" w:rsidRPr="00323B18" w:rsidRDefault="002F7BC0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F7BC0" w:rsidRPr="00323B18" w:rsidRDefault="002F7BC0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F7BC0" w:rsidRPr="00323B18" w:rsidRDefault="002F7BC0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7BC0" w:rsidRPr="00323B18" w:rsidRDefault="002F7BC0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7BC0" w:rsidRPr="00323B18" w:rsidRDefault="002F7BC0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7BC0" w:rsidRPr="00323B18" w:rsidRDefault="002F7BC0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7BC0" w:rsidRPr="00323B18" w:rsidRDefault="002F7BC0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F7BC0" w:rsidRPr="00323B18" w:rsidRDefault="002F7BC0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5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 xml:space="preserve"> 5.1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85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5.2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 xml:space="preserve">Пусконаладочные работы и </w:t>
            </w:r>
            <w:proofErr w:type="gramStart"/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6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6.1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6.2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 xml:space="preserve">Пусконаладочные работы и </w:t>
            </w:r>
            <w:proofErr w:type="gramStart"/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9E268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7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lang w:eastAsia="ru-RU"/>
              </w:rPr>
              <w:t>СЫРЬЕ И МАТЕРИАЛЫ</w:t>
            </w: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7.1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Договоры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985DC7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Коммунальные расходы на период СМР</w:t>
            </w: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323B18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</w:p>
        </w:tc>
      </w:tr>
      <w:tr w:rsidR="005363CE" w:rsidRPr="00323B18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  <w:r w:rsidRPr="00323B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  <w:t>ВСЕГО</w:t>
            </w:r>
          </w:p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23B18" w:rsidRDefault="005363CE" w:rsidP="009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23B18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20"/>
                <w:lang w:eastAsia="ru-RU"/>
              </w:rPr>
            </w:pPr>
          </w:p>
        </w:tc>
      </w:tr>
    </w:tbl>
    <w:p w:rsidR="006B2C1A" w:rsidRDefault="006B2C1A" w:rsidP="002F7BC0">
      <w:pPr>
        <w:rPr>
          <w:rFonts w:ascii="Times New Roman" w:hAnsi="Times New Roman" w:cs="Times New Roman"/>
          <w:b/>
          <w:sz w:val="24"/>
          <w:szCs w:val="24"/>
        </w:rPr>
      </w:pPr>
    </w:p>
    <w:p w:rsidR="006B2C1A" w:rsidRDefault="006B2C1A" w:rsidP="002F7BC0">
      <w:pPr>
        <w:rPr>
          <w:rFonts w:ascii="Times New Roman" w:hAnsi="Times New Roman" w:cs="Times New Roman"/>
          <w:b/>
          <w:sz w:val="24"/>
          <w:szCs w:val="24"/>
        </w:rPr>
      </w:pPr>
    </w:p>
    <w:p w:rsidR="006B2C1A" w:rsidRDefault="006B2C1A" w:rsidP="002F7BC0">
      <w:pPr>
        <w:rPr>
          <w:rFonts w:ascii="Times New Roman" w:hAnsi="Times New Roman" w:cs="Times New Roman"/>
          <w:b/>
          <w:sz w:val="24"/>
          <w:szCs w:val="24"/>
        </w:rPr>
      </w:pPr>
    </w:p>
    <w:p w:rsidR="006B2C1A" w:rsidRDefault="006B2C1A" w:rsidP="002F7BC0">
      <w:pPr>
        <w:rPr>
          <w:rFonts w:ascii="Times New Roman" w:hAnsi="Times New Roman" w:cs="Times New Roman"/>
          <w:b/>
          <w:sz w:val="24"/>
          <w:szCs w:val="24"/>
        </w:rPr>
      </w:pPr>
    </w:p>
    <w:p w:rsidR="006B2C1A" w:rsidRDefault="006B2C1A" w:rsidP="002F7BC0">
      <w:pPr>
        <w:rPr>
          <w:rFonts w:ascii="Times New Roman" w:hAnsi="Times New Roman" w:cs="Times New Roman"/>
          <w:b/>
          <w:sz w:val="24"/>
          <w:szCs w:val="24"/>
        </w:rPr>
      </w:pPr>
    </w:p>
    <w:p w:rsidR="005363CE" w:rsidRPr="002F7BC0" w:rsidRDefault="005363CE" w:rsidP="002F7BC0">
      <w:pPr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№2.  Структура Груп</w:t>
      </w:r>
      <w:r w:rsidR="002F7BC0">
        <w:rPr>
          <w:rFonts w:ascii="Times New Roman" w:hAnsi="Times New Roman" w:cs="Times New Roman"/>
          <w:b/>
          <w:sz w:val="24"/>
          <w:szCs w:val="24"/>
        </w:rPr>
        <w:t>пы лиц</w:t>
      </w: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horzAnchor="margin" w:tblpY="9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89"/>
        <w:gridCol w:w="9394"/>
        <w:gridCol w:w="1276"/>
      </w:tblGrid>
      <w:tr w:rsidR="005363CE" w:rsidRPr="008E71D1" w:rsidTr="009E268D">
        <w:trPr>
          <w:trHeight w:val="18"/>
        </w:trPr>
        <w:tc>
          <w:tcPr>
            <w:tcW w:w="620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9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363CE" w:rsidRPr="008E71D1" w:rsidRDefault="005363CE" w:rsidP="009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277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421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9E268D">
        <w:trPr>
          <w:trHeight w:val="289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9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  <w:r w:rsidRPr="00D26B3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лиц</w:t>
      </w:r>
      <w:r w:rsidRPr="00D26B31">
        <w:rPr>
          <w:rFonts w:ascii="Times New Roman" w:hAnsi="Times New Roman" w:cs="Times New Roman"/>
          <w:sz w:val="24"/>
          <w:szCs w:val="24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b/>
          <w:noProof/>
        </w:rPr>
        <w:br w:type="page"/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>
        <w:rPr>
          <w:b/>
          <w:noProof/>
        </w:rPr>
        <w:lastRenderedPageBreak/>
        <w:t>Приложение №3. 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4713"/>
        <w:gridCol w:w="2977"/>
        <w:gridCol w:w="3119"/>
        <w:gridCol w:w="3714"/>
      </w:tblGrid>
      <w:tr w:rsidR="00474B96" w:rsidTr="00D45E55">
        <w:trPr>
          <w:trHeight w:val="690"/>
        </w:trPr>
        <w:tc>
          <w:tcPr>
            <w:tcW w:w="498" w:type="dxa"/>
            <w:shd w:val="clear" w:color="auto" w:fill="BDD6EE" w:themeFill="accent1" w:themeFillTint="66"/>
          </w:tcPr>
          <w:p w:rsidR="00474B96" w:rsidRPr="00272022" w:rsidRDefault="00474B96" w:rsidP="009E268D">
            <w:pPr>
              <w:pStyle w:val="af4"/>
              <w:spacing w:before="0" w:after="0"/>
              <w:jc w:val="both"/>
              <w:rPr>
                <w:b/>
                <w:noProof/>
                <w:sz w:val="20"/>
                <w:szCs w:val="20"/>
              </w:rPr>
            </w:pPr>
            <w:r w:rsidRPr="00272022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4713" w:type="dxa"/>
            <w:shd w:val="clear" w:color="auto" w:fill="BDD6EE" w:themeFill="accent1" w:themeFillTint="66"/>
          </w:tcPr>
          <w:p w:rsidR="00474B96" w:rsidRPr="00C077F8" w:rsidRDefault="00474B96" w:rsidP="009E268D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C077F8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474B96" w:rsidRPr="00272022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В денежном выражении, </w:t>
            </w:r>
          </w:p>
          <w:p w:rsidR="00474B96" w:rsidRPr="00272022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млн. в год</w:t>
            </w:r>
          </w:p>
        </w:tc>
        <w:tc>
          <w:tcPr>
            <w:tcW w:w="3714" w:type="dxa"/>
            <w:shd w:val="clear" w:color="auto" w:fill="BDD6EE" w:themeFill="accent1" w:themeFillTint="66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Источники информации и (или) подтверждающие документы</w:t>
            </w:r>
          </w:p>
        </w:tc>
      </w:tr>
      <w:tr w:rsidR="00474B96" w:rsidTr="00D45E55">
        <w:tc>
          <w:tcPr>
            <w:tcW w:w="498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4713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9E268D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ОБЩАЯ ЕМКОСТЬ РЫНКА ПРОДУКЦИИ</w:t>
            </w:r>
          </w:p>
          <w:p w:rsidR="00474B96" w:rsidRPr="003A0A4B" w:rsidRDefault="00474B96" w:rsidP="009E268D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5E55" w:rsidRPr="00191A38" w:rsidRDefault="00D45E55" w:rsidP="009E268D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45E55" w:rsidRPr="00191A38" w:rsidRDefault="00D45E55" w:rsidP="00135455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:rsidR="00135455" w:rsidRPr="00191A38" w:rsidRDefault="00135455" w:rsidP="009E268D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D45E55">
        <w:tc>
          <w:tcPr>
            <w:tcW w:w="498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713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9E268D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74B96" w:rsidRPr="00F74628" w:rsidRDefault="00474B96" w:rsidP="00B12189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D45E55">
        <w:tc>
          <w:tcPr>
            <w:tcW w:w="498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713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ПОТЕНЦИАЛ РЫНКА ПРОДУКЦИИ </w:t>
            </w: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74B96" w:rsidRPr="00F74628" w:rsidRDefault="00474B96" w:rsidP="00135455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D45E55">
        <w:tc>
          <w:tcPr>
            <w:tcW w:w="498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713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ПЛАНИРУЕМЫЙ ОБЪЕМ ПРОИЗВОДСТВА ПРОДУКЦИИ В РАМКАХ ПРОЕКТА</w:t>
            </w:r>
          </w:p>
          <w:p w:rsidR="00474B96" w:rsidRPr="00F74628" w:rsidRDefault="00474B96" w:rsidP="009E268D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74B96" w:rsidRPr="00F74628" w:rsidRDefault="00474B96" w:rsidP="00135455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74B96" w:rsidRPr="00F74628" w:rsidRDefault="00474B96" w:rsidP="00135455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:rsidR="00474B96" w:rsidRDefault="00474B96" w:rsidP="009E268D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807B5B" w:rsidRDefault="00807B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53569" w:rsidRDefault="00807B5B" w:rsidP="00807B5B">
      <w:pPr>
        <w:pStyle w:val="2"/>
        <w:rPr>
          <w:b w:val="0"/>
          <w:color w:val="000000" w:themeColor="text1"/>
          <w:sz w:val="28"/>
          <w:szCs w:val="28"/>
        </w:rPr>
      </w:pPr>
      <w:bookmarkStart w:id="0" w:name="_Toc495661287"/>
      <w:r w:rsidRPr="00807B5B">
        <w:rPr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553569">
        <w:rPr>
          <w:b w:val="0"/>
          <w:color w:val="000000" w:themeColor="text1"/>
          <w:sz w:val="28"/>
          <w:szCs w:val="28"/>
        </w:rPr>
        <w:t>3</w:t>
      </w:r>
    </w:p>
    <w:p w:rsidR="00807B5B" w:rsidRPr="00807B5B" w:rsidRDefault="00807B5B" w:rsidP="00807B5B">
      <w:pPr>
        <w:pStyle w:val="2"/>
        <w:rPr>
          <w:b w:val="0"/>
          <w:color w:val="000000" w:themeColor="text1"/>
          <w:sz w:val="28"/>
          <w:szCs w:val="28"/>
        </w:rPr>
      </w:pPr>
      <w:r w:rsidRPr="00807B5B">
        <w:rPr>
          <w:b w:val="0"/>
          <w:color w:val="000000" w:themeColor="text1"/>
          <w:sz w:val="28"/>
          <w:szCs w:val="28"/>
        </w:rPr>
        <w:t xml:space="preserve"> Прогнозный Отчет о движении денежных средств</w:t>
      </w:r>
      <w:bookmarkEnd w:id="0"/>
    </w:p>
    <w:p w:rsidR="00807B5B" w:rsidRPr="00C932B9" w:rsidRDefault="00807B5B" w:rsidP="00807B5B">
      <w:pPr>
        <w:rPr>
          <w:rFonts w:ascii="Times New Roman" w:hAnsi="Times New Roman" w:cs="Times New Roman"/>
          <w:sz w:val="28"/>
          <w:szCs w:val="28"/>
        </w:rPr>
      </w:pPr>
      <w:r w:rsidRPr="00C932B9">
        <w:rPr>
          <w:rFonts w:ascii="Times New Roman" w:hAnsi="Times New Roman" w:cs="Times New Roman"/>
          <w:sz w:val="28"/>
          <w:szCs w:val="28"/>
        </w:rPr>
        <w:t>Отчет о движении денежных сре</w:t>
      </w:r>
      <w:proofErr w:type="gramStart"/>
      <w:r w:rsidRPr="00C932B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C932B9">
        <w:rPr>
          <w:rFonts w:ascii="Times New Roman" w:hAnsi="Times New Roman" w:cs="Times New Roman"/>
          <w:sz w:val="28"/>
          <w:szCs w:val="28"/>
        </w:rPr>
        <w:t>ериод с 2018 по 2032</w:t>
      </w:r>
      <w:r>
        <w:rPr>
          <w:rFonts w:ascii="Times New Roman" w:hAnsi="Times New Roman" w:cs="Times New Roman"/>
          <w:sz w:val="28"/>
          <w:szCs w:val="28"/>
        </w:rPr>
        <w:t xml:space="preserve"> гг., млн. руб.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40"/>
        <w:gridCol w:w="840"/>
        <w:gridCol w:w="840"/>
        <w:gridCol w:w="840"/>
        <w:gridCol w:w="840"/>
        <w:gridCol w:w="700"/>
        <w:gridCol w:w="682"/>
        <w:gridCol w:w="682"/>
        <w:gridCol w:w="682"/>
        <w:gridCol w:w="682"/>
        <w:gridCol w:w="666"/>
        <w:gridCol w:w="666"/>
        <w:gridCol w:w="666"/>
        <w:gridCol w:w="666"/>
        <w:gridCol w:w="666"/>
      </w:tblGrid>
      <w:tr w:rsidR="00807B5B" w:rsidRPr="009A1A53" w:rsidTr="009E268D">
        <w:trPr>
          <w:trHeight w:val="300"/>
        </w:trPr>
        <w:tc>
          <w:tcPr>
            <w:tcW w:w="3828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84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84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84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84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700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682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682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682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682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666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666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666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666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2031</w:t>
            </w:r>
          </w:p>
        </w:tc>
        <w:tc>
          <w:tcPr>
            <w:tcW w:w="666" w:type="dxa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color w:val="000000"/>
                <w:sz w:val="14"/>
                <w:szCs w:val="14"/>
              </w:rPr>
              <w:t>2032</w:t>
            </w:r>
          </w:p>
        </w:tc>
      </w:tr>
      <w:tr w:rsidR="00807B5B" w:rsidRPr="009A1A53" w:rsidTr="009E268D">
        <w:trPr>
          <w:trHeight w:val="300"/>
        </w:trPr>
        <w:tc>
          <w:tcPr>
            <w:tcW w:w="14786" w:type="dxa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sz w:val="14"/>
                <w:szCs w:val="14"/>
              </w:rPr>
              <w:t>Операционная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Поступления от покупателей и заказчиков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Выплаты: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Себестоимость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Постоянные расходы (коммерческие и административные)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Выплата налогов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Зарплата персонала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Чистый денежный поток от операционной деятельности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14786" w:type="dxa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Инвестиционная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Капитальные вложения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Прочие инвестиционные выплаты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Чистый денежный поток от инвестиционной деятельности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14786" w:type="dxa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Финансовая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Увеличение прочего собственного капитала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Уменьшение прочего собственного капитала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Привлечение кредитов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Возврат кредитов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Выплата процентов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Чистый денежный поток от финансовой деятельности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14786" w:type="dxa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Денежные средства на начало периода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Чистый денежный поток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Денежные средства на конец периода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</w:tbl>
    <w:p w:rsidR="00807B5B" w:rsidRDefault="00807B5B" w:rsidP="00807B5B">
      <w:pPr>
        <w:tabs>
          <w:tab w:val="left" w:pos="1275"/>
        </w:tabs>
      </w:pPr>
      <w:r>
        <w:tab/>
      </w:r>
    </w:p>
    <w:p w:rsidR="00807B5B" w:rsidRDefault="00807B5B">
      <w:r>
        <w:br w:type="page"/>
      </w:r>
    </w:p>
    <w:p w:rsidR="00807B5B" w:rsidRDefault="00807B5B" w:rsidP="00807B5B">
      <w:pPr>
        <w:tabs>
          <w:tab w:val="left" w:pos="1275"/>
        </w:tabs>
      </w:pPr>
    </w:p>
    <w:p w:rsidR="00807B5B" w:rsidRPr="00C932B9" w:rsidRDefault="00807B5B" w:rsidP="00807B5B">
      <w:pPr>
        <w:rPr>
          <w:rFonts w:ascii="Times New Roman" w:hAnsi="Times New Roman" w:cs="Times New Roman"/>
          <w:sz w:val="28"/>
          <w:szCs w:val="28"/>
        </w:rPr>
      </w:pPr>
      <w:r w:rsidRPr="00C932B9">
        <w:rPr>
          <w:rFonts w:ascii="Times New Roman" w:hAnsi="Times New Roman" w:cs="Times New Roman"/>
          <w:sz w:val="28"/>
          <w:szCs w:val="28"/>
        </w:rPr>
        <w:t>Отчет о движении денежных сре</w:t>
      </w:r>
      <w:proofErr w:type="gramStart"/>
      <w:r w:rsidRPr="00C932B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ериод с 2033</w:t>
      </w:r>
      <w:r w:rsidRPr="00C932B9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>47 гг., млн. руб.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739"/>
        <w:gridCol w:w="739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60"/>
      </w:tblGrid>
      <w:tr w:rsidR="00807B5B" w:rsidRPr="009A1A53" w:rsidTr="009E268D">
        <w:trPr>
          <w:trHeight w:val="300"/>
        </w:trPr>
        <w:tc>
          <w:tcPr>
            <w:tcW w:w="1393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2041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2042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2044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2045</w:t>
            </w:r>
          </w:p>
        </w:tc>
        <w:tc>
          <w:tcPr>
            <w:tcW w:w="24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2046</w:t>
            </w:r>
          </w:p>
        </w:tc>
        <w:tc>
          <w:tcPr>
            <w:tcW w:w="246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2047</w:t>
            </w:r>
          </w:p>
        </w:tc>
      </w:tr>
      <w:tr w:rsidR="00807B5B" w:rsidRPr="009A1A53" w:rsidTr="009E268D">
        <w:trPr>
          <w:trHeight w:val="300"/>
        </w:trPr>
        <w:tc>
          <w:tcPr>
            <w:tcW w:w="5000" w:type="pct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i/>
                <w:sz w:val="14"/>
                <w:szCs w:val="14"/>
              </w:rPr>
            </w:pPr>
            <w:r w:rsidRPr="009A1A53">
              <w:rPr>
                <w:rFonts w:eastAsia="Times New Roman" w:cs="Times New Roman"/>
                <w:i/>
                <w:sz w:val="14"/>
                <w:szCs w:val="14"/>
              </w:rPr>
              <w:t>Операционная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Поступления от покупателей и заказчиков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Выплаты: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Себестоимость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Постоянные расходы (коммерческие и административные)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Выплата налогов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Зарплата персонала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bCs/>
                <w:sz w:val="14"/>
                <w:szCs w:val="14"/>
              </w:rPr>
              <w:t>Чистый денежный поток от операционной деятельности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5000" w:type="pct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i/>
                <w:iCs/>
                <w:sz w:val="14"/>
                <w:szCs w:val="14"/>
              </w:rPr>
              <w:t>Инвестиционная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Капитальные вложения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Прочие инвестиционные выплаты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bCs/>
                <w:sz w:val="14"/>
                <w:szCs w:val="14"/>
              </w:rPr>
              <w:t>Чистый денежный поток от инвестиционной деятельности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5000" w:type="pct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i/>
                <w:iCs/>
                <w:sz w:val="14"/>
                <w:szCs w:val="14"/>
              </w:rPr>
              <w:t>Финансовая деятельность</w:t>
            </w: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Увеличение прочего собственного капитала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Уменьшение прочего собственного капитала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Привлечение кредитов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Возврат кредитов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Выплата процентов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bCs/>
                <w:sz w:val="14"/>
                <w:szCs w:val="14"/>
              </w:rPr>
              <w:t>Чистый денежный поток от финансовой деятельности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807B5B" w:rsidRPr="009A1A53" w:rsidTr="009E268D">
        <w:trPr>
          <w:trHeight w:val="300"/>
        </w:trPr>
        <w:tc>
          <w:tcPr>
            <w:tcW w:w="5000" w:type="pct"/>
            <w:gridSpan w:val="16"/>
            <w:shd w:val="clear" w:color="auto" w:fill="F2F2F2" w:themeFill="background1" w:themeFillShade="F2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Денежные средства на начало периода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sz w:val="14"/>
                <w:szCs w:val="14"/>
              </w:rPr>
              <w:t>Чистый денежный поток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393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bCs/>
                <w:sz w:val="14"/>
                <w:szCs w:val="14"/>
              </w:rPr>
              <w:t>Денежные средства на конец периода</w:t>
            </w: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807B5B" w:rsidRDefault="00807B5B" w:rsidP="00807B5B">
      <w:pPr>
        <w:tabs>
          <w:tab w:val="left" w:pos="1275"/>
        </w:tabs>
      </w:pPr>
    </w:p>
    <w:p w:rsidR="00807B5B" w:rsidRDefault="00807B5B">
      <w:r>
        <w:br w:type="page"/>
      </w:r>
    </w:p>
    <w:p w:rsidR="00807B5B" w:rsidRPr="00807B5B" w:rsidRDefault="00807B5B" w:rsidP="00807B5B">
      <w:pPr>
        <w:rPr>
          <w:rFonts w:ascii="Times New Roman" w:hAnsi="Times New Roman" w:cs="Times New Roman"/>
        </w:rPr>
      </w:pPr>
      <w:bookmarkStart w:id="1" w:name="_Toc495661288"/>
      <w:r w:rsidRPr="00807B5B">
        <w:rPr>
          <w:rFonts w:ascii="Times New Roman" w:hAnsi="Times New Roman" w:cs="Times New Roman"/>
          <w:sz w:val="28"/>
          <w:szCs w:val="28"/>
        </w:rPr>
        <w:lastRenderedPageBreak/>
        <w:t>Прогнозный Отчет о финансовых результатах</w:t>
      </w:r>
      <w:bookmarkEnd w:id="1"/>
    </w:p>
    <w:p w:rsidR="00807B5B" w:rsidRPr="00BB72C5" w:rsidRDefault="00807B5B" w:rsidP="00807B5B">
      <w:pPr>
        <w:rPr>
          <w:rFonts w:ascii="Times New Roman" w:hAnsi="Times New Roman" w:cs="Times New Roman"/>
          <w:sz w:val="28"/>
          <w:szCs w:val="28"/>
        </w:rPr>
      </w:pPr>
      <w:r w:rsidRPr="00BB72C5">
        <w:rPr>
          <w:rFonts w:ascii="Times New Roman" w:hAnsi="Times New Roman" w:cs="Times New Roman"/>
          <w:sz w:val="28"/>
          <w:szCs w:val="28"/>
        </w:rPr>
        <w:t xml:space="preserve">Отчет о финансовых результатах за период с </w:t>
      </w:r>
      <w:r w:rsidRPr="00C932B9">
        <w:rPr>
          <w:rFonts w:ascii="Times New Roman" w:hAnsi="Times New Roman" w:cs="Times New Roman"/>
          <w:sz w:val="28"/>
          <w:szCs w:val="28"/>
        </w:rPr>
        <w:t>2018 по 2032</w:t>
      </w:r>
      <w:r>
        <w:rPr>
          <w:rFonts w:ascii="Times New Roman" w:hAnsi="Times New Roman" w:cs="Times New Roman"/>
          <w:sz w:val="28"/>
          <w:szCs w:val="28"/>
        </w:rPr>
        <w:t xml:space="preserve"> гг., 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721"/>
        <w:gridCol w:w="721"/>
        <w:gridCol w:w="721"/>
        <w:gridCol w:w="721"/>
        <w:gridCol w:w="721"/>
        <w:gridCol w:w="721"/>
        <w:gridCol w:w="722"/>
        <w:gridCol w:w="722"/>
        <w:gridCol w:w="722"/>
        <w:gridCol w:w="722"/>
        <w:gridCol w:w="722"/>
        <w:gridCol w:w="722"/>
        <w:gridCol w:w="722"/>
        <w:gridCol w:w="768"/>
        <w:gridCol w:w="768"/>
      </w:tblGrid>
      <w:tr w:rsidR="00807B5B" w:rsidRPr="009A1A53" w:rsidTr="009E268D">
        <w:trPr>
          <w:trHeight w:val="300"/>
        </w:trPr>
        <w:tc>
          <w:tcPr>
            <w:tcW w:w="144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25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250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2032</w:t>
            </w: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Выручка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Себестоимость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Валовая прибыль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Валовая рентабельность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Амортизация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Зарплата персонала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Другие налоговые выплаты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Постоянные расходы (коммерческие и административные)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Операционная прибыль (EBIT)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Операционная рентабельность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Прочие расходы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Проценты по кредитам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Прибыль до налога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Налог по УСН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Чистая прибыль (убыток)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Рентабельность по чистой прибыли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5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Нераспределенная прибыль (непокрытый убыток)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</w:tbl>
    <w:p w:rsidR="00807B5B" w:rsidRDefault="00807B5B" w:rsidP="00807B5B"/>
    <w:p w:rsidR="00807B5B" w:rsidRPr="00BB72C5" w:rsidRDefault="00807B5B" w:rsidP="00807B5B"/>
    <w:p w:rsidR="00807B5B" w:rsidRDefault="00807B5B" w:rsidP="00807B5B">
      <w:pPr>
        <w:pStyle w:val="afe"/>
        <w:numPr>
          <w:ilvl w:val="0"/>
          <w:numId w:val="0"/>
        </w:numPr>
      </w:pPr>
    </w:p>
    <w:p w:rsidR="00807B5B" w:rsidRDefault="00807B5B" w:rsidP="00807B5B"/>
    <w:p w:rsidR="00807B5B" w:rsidRDefault="00807B5B">
      <w:r>
        <w:br w:type="page"/>
      </w:r>
    </w:p>
    <w:p w:rsidR="00807B5B" w:rsidRDefault="00807B5B" w:rsidP="00807B5B"/>
    <w:p w:rsidR="00807B5B" w:rsidRPr="00BB72C5" w:rsidRDefault="00807B5B" w:rsidP="00807B5B">
      <w:pPr>
        <w:rPr>
          <w:rFonts w:ascii="Times New Roman" w:hAnsi="Times New Roman" w:cs="Times New Roman"/>
          <w:sz w:val="28"/>
          <w:szCs w:val="28"/>
        </w:rPr>
      </w:pPr>
      <w:r w:rsidRPr="00BB72C5">
        <w:rPr>
          <w:rFonts w:ascii="Times New Roman" w:hAnsi="Times New Roman" w:cs="Times New Roman"/>
          <w:sz w:val="28"/>
          <w:szCs w:val="28"/>
        </w:rPr>
        <w:t xml:space="preserve">Отчет о финансовых результатах за период с </w:t>
      </w:r>
      <w:r>
        <w:rPr>
          <w:rFonts w:ascii="Times New Roman" w:hAnsi="Times New Roman" w:cs="Times New Roman"/>
          <w:sz w:val="28"/>
          <w:szCs w:val="28"/>
        </w:rPr>
        <w:t>2033</w:t>
      </w:r>
      <w:r w:rsidRPr="00C932B9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>47 гг., 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727"/>
        <w:gridCol w:w="727"/>
        <w:gridCol w:w="727"/>
        <w:gridCol w:w="727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2"/>
      </w:tblGrid>
      <w:tr w:rsidR="00807B5B" w:rsidRPr="009A1A53" w:rsidTr="009E268D">
        <w:trPr>
          <w:trHeight w:val="300"/>
        </w:trPr>
        <w:tc>
          <w:tcPr>
            <w:tcW w:w="144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2041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2042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2044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2045</w:t>
            </w:r>
          </w:p>
        </w:tc>
        <w:tc>
          <w:tcPr>
            <w:tcW w:w="237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2046</w:t>
            </w:r>
          </w:p>
        </w:tc>
        <w:tc>
          <w:tcPr>
            <w:tcW w:w="235" w:type="pct"/>
            <w:shd w:val="clear" w:color="auto" w:fill="BDD6EE" w:themeFill="accent1" w:themeFillTint="66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  <w:r w:rsidRPr="009A1A53">
              <w:rPr>
                <w:rFonts w:eastAsia="Times New Roman" w:cs="Times New Roman"/>
                <w:b/>
                <w:color w:val="000000"/>
                <w:sz w:val="14"/>
                <w:szCs w:val="14"/>
              </w:rPr>
              <w:t>2047</w:t>
            </w: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Выручка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Себестоимость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Валовая прибыль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Валовая рентабельность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Амортизация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Зарплата персонала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Другие налоговые выплаты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Постоянные расходы (коммерческие и административные)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Операционная прибыль (EBIT)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Операционная рентабельность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Прочие расходы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Проценты по кредитам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Прибыль до налога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ind w:firstLineChars="100" w:firstLine="140"/>
              <w:rPr>
                <w:rFonts w:eastAsia="Times New Roman" w:cs="Arial"/>
                <w:sz w:val="14"/>
                <w:szCs w:val="14"/>
              </w:rPr>
            </w:pPr>
            <w:r w:rsidRPr="009A1A53">
              <w:rPr>
                <w:rFonts w:eastAsia="Times New Roman" w:cs="Arial"/>
                <w:sz w:val="14"/>
                <w:szCs w:val="14"/>
              </w:rPr>
              <w:t>Налог по УСН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Чистая прибыль (убыток)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i/>
                <w:iCs/>
                <w:sz w:val="14"/>
                <w:szCs w:val="14"/>
              </w:rPr>
            </w:pPr>
            <w:r w:rsidRPr="009A1A53">
              <w:rPr>
                <w:rFonts w:eastAsia="Times New Roman" w:cs="Arial"/>
                <w:i/>
                <w:iCs/>
                <w:sz w:val="14"/>
                <w:szCs w:val="14"/>
              </w:rPr>
              <w:t>Рентабельность по чистой прибыли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sz w:val="14"/>
                <w:szCs w:val="14"/>
              </w:rPr>
            </w:pPr>
          </w:p>
        </w:tc>
      </w:tr>
      <w:tr w:rsidR="00807B5B" w:rsidRPr="009A1A53" w:rsidTr="0062439F">
        <w:trPr>
          <w:trHeight w:val="300"/>
        </w:trPr>
        <w:tc>
          <w:tcPr>
            <w:tcW w:w="1447" w:type="pct"/>
            <w:shd w:val="clear" w:color="auto" w:fill="auto"/>
            <w:noWrap/>
            <w:vAlign w:val="bottom"/>
            <w:hideMark/>
          </w:tcPr>
          <w:p w:rsidR="00807B5B" w:rsidRPr="009A1A53" w:rsidRDefault="00807B5B" w:rsidP="009E268D">
            <w:pPr>
              <w:spacing w:after="0" w:line="240" w:lineRule="auto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9A1A53">
              <w:rPr>
                <w:rFonts w:eastAsia="Times New Roman" w:cs="Arial"/>
                <w:b/>
                <w:bCs/>
                <w:sz w:val="14"/>
                <w:szCs w:val="14"/>
              </w:rPr>
              <w:t>Нераспределенная прибыль (непокрытый убыток)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auto"/>
            <w:noWrap/>
            <w:vAlign w:val="bottom"/>
          </w:tcPr>
          <w:p w:rsidR="00807B5B" w:rsidRPr="009A1A53" w:rsidRDefault="00807B5B" w:rsidP="009E268D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</w:rPr>
            </w:pPr>
          </w:p>
        </w:tc>
      </w:tr>
    </w:tbl>
    <w:p w:rsidR="005363CE" w:rsidRPr="006D5D3F" w:rsidRDefault="005363CE" w:rsidP="00807B5B">
      <w:pPr>
        <w:tabs>
          <w:tab w:val="left" w:pos="11685"/>
        </w:tabs>
        <w:rPr>
          <w:rFonts w:ascii="Times New Roman" w:hAnsi="Times New Roman" w:cs="Times New Roman"/>
        </w:rPr>
      </w:pPr>
      <w:bookmarkStart w:id="2" w:name="_GoBack"/>
      <w:bookmarkEnd w:id="2"/>
    </w:p>
    <w:sectPr w:rsidR="005363CE" w:rsidRPr="006D5D3F" w:rsidSect="009E268D">
      <w:footerReference w:type="default" r:id="rId10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1C" w:rsidRDefault="00BA4B1C" w:rsidP="00F85B75">
      <w:pPr>
        <w:spacing w:after="0" w:line="240" w:lineRule="auto"/>
      </w:pPr>
      <w:r>
        <w:separator/>
      </w:r>
    </w:p>
  </w:endnote>
  <w:endnote w:type="continuationSeparator" w:id="0">
    <w:p w:rsidR="00BA4B1C" w:rsidRDefault="00BA4B1C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772951"/>
      <w:docPartObj>
        <w:docPartGallery w:val="Page Numbers (Bottom of Page)"/>
        <w:docPartUnique/>
      </w:docPartObj>
    </w:sdtPr>
    <w:sdtEndPr/>
    <w:sdtContent>
      <w:p w:rsidR="007022D6" w:rsidRDefault="00702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9F">
          <w:rPr>
            <w:noProof/>
          </w:rPr>
          <w:t>1</w:t>
        </w:r>
        <w:r>
          <w:fldChar w:fldCharType="end"/>
        </w:r>
      </w:p>
    </w:sdtContent>
  </w:sdt>
  <w:p w:rsidR="007022D6" w:rsidRDefault="007022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376421"/>
      <w:docPartObj>
        <w:docPartGallery w:val="Page Numbers (Bottom of Page)"/>
        <w:docPartUnique/>
      </w:docPartObj>
    </w:sdtPr>
    <w:sdtEndPr/>
    <w:sdtContent>
      <w:p w:rsidR="007022D6" w:rsidRDefault="00702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9F">
          <w:rPr>
            <w:noProof/>
          </w:rPr>
          <w:t>8</w:t>
        </w:r>
        <w:r>
          <w:fldChar w:fldCharType="end"/>
        </w:r>
      </w:p>
    </w:sdtContent>
  </w:sdt>
  <w:p w:rsidR="007022D6" w:rsidRDefault="007022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1C" w:rsidRDefault="00BA4B1C" w:rsidP="00F85B75">
      <w:pPr>
        <w:spacing w:after="0" w:line="240" w:lineRule="auto"/>
      </w:pPr>
      <w:r>
        <w:separator/>
      </w:r>
    </w:p>
  </w:footnote>
  <w:footnote w:type="continuationSeparator" w:id="0">
    <w:p w:rsidR="00BA4B1C" w:rsidRDefault="00BA4B1C" w:rsidP="00F8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CAF"/>
    <w:multiLevelType w:val="hybridMultilevel"/>
    <w:tmpl w:val="E542A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324"/>
    <w:multiLevelType w:val="hybridMultilevel"/>
    <w:tmpl w:val="F396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F4BBF"/>
    <w:multiLevelType w:val="multilevel"/>
    <w:tmpl w:val="657A5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1C59A9"/>
    <w:multiLevelType w:val="hybridMultilevel"/>
    <w:tmpl w:val="F890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F0973"/>
    <w:multiLevelType w:val="hybridMultilevel"/>
    <w:tmpl w:val="72F4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AE18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53CA7"/>
    <w:multiLevelType w:val="hybridMultilevel"/>
    <w:tmpl w:val="062A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A1246"/>
    <w:multiLevelType w:val="hybridMultilevel"/>
    <w:tmpl w:val="76BE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53DD4"/>
    <w:multiLevelType w:val="hybridMultilevel"/>
    <w:tmpl w:val="7C74FF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11634F"/>
    <w:multiLevelType w:val="hybridMultilevel"/>
    <w:tmpl w:val="2270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31382"/>
    <w:multiLevelType w:val="hybridMultilevel"/>
    <w:tmpl w:val="357C23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C63F48"/>
    <w:multiLevelType w:val="hybridMultilevel"/>
    <w:tmpl w:val="01A68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2503F1"/>
    <w:multiLevelType w:val="multilevel"/>
    <w:tmpl w:val="717E62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7BB0"/>
    <w:multiLevelType w:val="hybridMultilevel"/>
    <w:tmpl w:val="A6E654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4FC586D"/>
    <w:multiLevelType w:val="hybridMultilevel"/>
    <w:tmpl w:val="52CC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07CCA"/>
    <w:multiLevelType w:val="multilevel"/>
    <w:tmpl w:val="657A5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3A045B1A"/>
    <w:multiLevelType w:val="hybridMultilevel"/>
    <w:tmpl w:val="8C6A65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A3A1005"/>
    <w:multiLevelType w:val="multilevel"/>
    <w:tmpl w:val="4224B6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D0E69"/>
    <w:multiLevelType w:val="hybridMultilevel"/>
    <w:tmpl w:val="F626C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D4524"/>
    <w:multiLevelType w:val="hybridMultilevel"/>
    <w:tmpl w:val="F484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C2FC5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25F5CAF"/>
    <w:multiLevelType w:val="hybridMultilevel"/>
    <w:tmpl w:val="F890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6167A9"/>
    <w:multiLevelType w:val="hybridMultilevel"/>
    <w:tmpl w:val="4336C102"/>
    <w:lvl w:ilvl="0" w:tplc="2288FC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7B51E8"/>
    <w:multiLevelType w:val="hybridMultilevel"/>
    <w:tmpl w:val="79064ECC"/>
    <w:lvl w:ilvl="0" w:tplc="AD88C5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3D452E"/>
    <w:multiLevelType w:val="multilevel"/>
    <w:tmpl w:val="57D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BA2139"/>
    <w:multiLevelType w:val="hybridMultilevel"/>
    <w:tmpl w:val="616C03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03C27E0"/>
    <w:multiLevelType w:val="hybridMultilevel"/>
    <w:tmpl w:val="F1E43798"/>
    <w:lvl w:ilvl="0" w:tplc="46B05B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3D4347"/>
    <w:multiLevelType w:val="hybridMultilevel"/>
    <w:tmpl w:val="704EF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94077EE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375D9"/>
    <w:multiLevelType w:val="hybridMultilevel"/>
    <w:tmpl w:val="B034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67D08"/>
    <w:multiLevelType w:val="hybridMultilevel"/>
    <w:tmpl w:val="C7D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B441C"/>
    <w:multiLevelType w:val="hybridMultilevel"/>
    <w:tmpl w:val="35685DF0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9">
    <w:nsid w:val="66051D3F"/>
    <w:multiLevelType w:val="hybridMultilevel"/>
    <w:tmpl w:val="320C5462"/>
    <w:lvl w:ilvl="0" w:tplc="6A2A5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44ACD"/>
    <w:multiLevelType w:val="hybridMultilevel"/>
    <w:tmpl w:val="A24C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1A1C4B"/>
    <w:multiLevelType w:val="hybridMultilevel"/>
    <w:tmpl w:val="3830D6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21A2282"/>
    <w:multiLevelType w:val="hybridMultilevel"/>
    <w:tmpl w:val="37F6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66581D"/>
    <w:multiLevelType w:val="hybridMultilevel"/>
    <w:tmpl w:val="A07894FA"/>
    <w:lvl w:ilvl="0" w:tplc="FD6EF48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376380"/>
    <w:multiLevelType w:val="hybridMultilevel"/>
    <w:tmpl w:val="EC32D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6"/>
  </w:num>
  <w:num w:numId="4">
    <w:abstractNumId w:val="27"/>
  </w:num>
  <w:num w:numId="5">
    <w:abstractNumId w:val="12"/>
  </w:num>
  <w:num w:numId="6">
    <w:abstractNumId w:val="19"/>
  </w:num>
  <w:num w:numId="7">
    <w:abstractNumId w:val="4"/>
  </w:num>
  <w:num w:numId="8">
    <w:abstractNumId w:val="6"/>
  </w:num>
  <w:num w:numId="9">
    <w:abstractNumId w:val="43"/>
  </w:num>
  <w:num w:numId="10">
    <w:abstractNumId w:val="41"/>
  </w:num>
  <w:num w:numId="11">
    <w:abstractNumId w:val="25"/>
  </w:num>
  <w:num w:numId="12">
    <w:abstractNumId w:val="42"/>
  </w:num>
  <w:num w:numId="13">
    <w:abstractNumId w:val="32"/>
  </w:num>
  <w:num w:numId="14">
    <w:abstractNumId w:val="37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26"/>
  </w:num>
  <w:num w:numId="18">
    <w:abstractNumId w:val="5"/>
  </w:num>
  <w:num w:numId="19">
    <w:abstractNumId w:val="40"/>
  </w:num>
  <w:num w:numId="20">
    <w:abstractNumId w:val="1"/>
  </w:num>
  <w:num w:numId="21">
    <w:abstractNumId w:val="11"/>
  </w:num>
  <w:num w:numId="22">
    <w:abstractNumId w:val="9"/>
  </w:num>
  <w:num w:numId="23">
    <w:abstractNumId w:val="31"/>
  </w:num>
  <w:num w:numId="24">
    <w:abstractNumId w:val="22"/>
  </w:num>
  <w:num w:numId="25">
    <w:abstractNumId w:val="2"/>
  </w:num>
  <w:num w:numId="26">
    <w:abstractNumId w:val="3"/>
  </w:num>
  <w:num w:numId="27">
    <w:abstractNumId w:val="15"/>
  </w:num>
  <w:num w:numId="28">
    <w:abstractNumId w:val="10"/>
  </w:num>
  <w:num w:numId="29">
    <w:abstractNumId w:val="18"/>
  </w:num>
  <w:num w:numId="30">
    <w:abstractNumId w:val="36"/>
  </w:num>
  <w:num w:numId="31">
    <w:abstractNumId w:val="20"/>
  </w:num>
  <w:num w:numId="32">
    <w:abstractNumId w:val="29"/>
  </w:num>
  <w:num w:numId="33">
    <w:abstractNumId w:val="46"/>
  </w:num>
  <w:num w:numId="34">
    <w:abstractNumId w:val="30"/>
  </w:num>
  <w:num w:numId="35">
    <w:abstractNumId w:val="39"/>
  </w:num>
  <w:num w:numId="36">
    <w:abstractNumId w:val="21"/>
  </w:num>
  <w:num w:numId="37">
    <w:abstractNumId w:val="33"/>
  </w:num>
  <w:num w:numId="38">
    <w:abstractNumId w:val="17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5"/>
  </w:num>
  <w:num w:numId="42">
    <w:abstractNumId w:val="0"/>
  </w:num>
  <w:num w:numId="43">
    <w:abstractNumId w:val="13"/>
  </w:num>
  <w:num w:numId="44">
    <w:abstractNumId w:val="8"/>
  </w:num>
  <w:num w:numId="45">
    <w:abstractNumId w:val="47"/>
  </w:num>
  <w:num w:numId="46">
    <w:abstractNumId w:val="14"/>
  </w:num>
  <w:num w:numId="47">
    <w:abstractNumId w:val="4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1E"/>
    <w:rsid w:val="00002331"/>
    <w:rsid w:val="00005EC9"/>
    <w:rsid w:val="00025D5A"/>
    <w:rsid w:val="00030EDE"/>
    <w:rsid w:val="00040929"/>
    <w:rsid w:val="000B32E9"/>
    <w:rsid w:val="000B52B3"/>
    <w:rsid w:val="000C48E0"/>
    <w:rsid w:val="000F627A"/>
    <w:rsid w:val="0010798E"/>
    <w:rsid w:val="001332E3"/>
    <w:rsid w:val="00134BE8"/>
    <w:rsid w:val="00135455"/>
    <w:rsid w:val="0014668D"/>
    <w:rsid w:val="00156AC9"/>
    <w:rsid w:val="00184DC6"/>
    <w:rsid w:val="001B4BE1"/>
    <w:rsid w:val="001D5C74"/>
    <w:rsid w:val="001F410D"/>
    <w:rsid w:val="00201DB3"/>
    <w:rsid w:val="002420DB"/>
    <w:rsid w:val="00254DD4"/>
    <w:rsid w:val="002568C1"/>
    <w:rsid w:val="00265ACE"/>
    <w:rsid w:val="002B5213"/>
    <w:rsid w:val="002D44EB"/>
    <w:rsid w:val="002D7B37"/>
    <w:rsid w:val="002D7D71"/>
    <w:rsid w:val="002E0EE2"/>
    <w:rsid w:val="002F0DA5"/>
    <w:rsid w:val="002F7BC0"/>
    <w:rsid w:val="003079D3"/>
    <w:rsid w:val="00323B18"/>
    <w:rsid w:val="00363B4A"/>
    <w:rsid w:val="00373C0F"/>
    <w:rsid w:val="003823CB"/>
    <w:rsid w:val="003862B7"/>
    <w:rsid w:val="003936A0"/>
    <w:rsid w:val="003B11E0"/>
    <w:rsid w:val="003B349F"/>
    <w:rsid w:val="003E79E2"/>
    <w:rsid w:val="003F1AF8"/>
    <w:rsid w:val="00407ECC"/>
    <w:rsid w:val="00413E03"/>
    <w:rsid w:val="0042233C"/>
    <w:rsid w:val="0045085A"/>
    <w:rsid w:val="004574F0"/>
    <w:rsid w:val="00474B96"/>
    <w:rsid w:val="004836EA"/>
    <w:rsid w:val="004C44A8"/>
    <w:rsid w:val="004C7297"/>
    <w:rsid w:val="004E3EE3"/>
    <w:rsid w:val="004F01FB"/>
    <w:rsid w:val="004F55BB"/>
    <w:rsid w:val="005153B7"/>
    <w:rsid w:val="00521708"/>
    <w:rsid w:val="005363CE"/>
    <w:rsid w:val="00550CAD"/>
    <w:rsid w:val="00553569"/>
    <w:rsid w:val="005C2305"/>
    <w:rsid w:val="005D7687"/>
    <w:rsid w:val="005E7CDD"/>
    <w:rsid w:val="00602540"/>
    <w:rsid w:val="0062439F"/>
    <w:rsid w:val="00640A0D"/>
    <w:rsid w:val="00643903"/>
    <w:rsid w:val="00643BF1"/>
    <w:rsid w:val="0065179C"/>
    <w:rsid w:val="006670AC"/>
    <w:rsid w:val="006B2C1A"/>
    <w:rsid w:val="006D5D0C"/>
    <w:rsid w:val="006D5D3F"/>
    <w:rsid w:val="006E3FEC"/>
    <w:rsid w:val="006E6C66"/>
    <w:rsid w:val="007022D6"/>
    <w:rsid w:val="00705CA7"/>
    <w:rsid w:val="007154A2"/>
    <w:rsid w:val="00726431"/>
    <w:rsid w:val="00737533"/>
    <w:rsid w:val="007475C3"/>
    <w:rsid w:val="00751AB8"/>
    <w:rsid w:val="00784695"/>
    <w:rsid w:val="007E7C43"/>
    <w:rsid w:val="00807B5B"/>
    <w:rsid w:val="00812BA2"/>
    <w:rsid w:val="00850CA1"/>
    <w:rsid w:val="008619AB"/>
    <w:rsid w:val="008B2187"/>
    <w:rsid w:val="008C110E"/>
    <w:rsid w:val="008F70BE"/>
    <w:rsid w:val="00907155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85DC7"/>
    <w:rsid w:val="00992526"/>
    <w:rsid w:val="00994057"/>
    <w:rsid w:val="00994E9C"/>
    <w:rsid w:val="009E268D"/>
    <w:rsid w:val="009F2032"/>
    <w:rsid w:val="00A3184B"/>
    <w:rsid w:val="00A512E5"/>
    <w:rsid w:val="00A53525"/>
    <w:rsid w:val="00A63905"/>
    <w:rsid w:val="00A64DBB"/>
    <w:rsid w:val="00A65237"/>
    <w:rsid w:val="00A76C49"/>
    <w:rsid w:val="00A80C00"/>
    <w:rsid w:val="00A92FA4"/>
    <w:rsid w:val="00A97B4F"/>
    <w:rsid w:val="00AC5C1E"/>
    <w:rsid w:val="00AC7ACA"/>
    <w:rsid w:val="00AC7FF3"/>
    <w:rsid w:val="00B05F30"/>
    <w:rsid w:val="00B12189"/>
    <w:rsid w:val="00B16A9D"/>
    <w:rsid w:val="00B43D4C"/>
    <w:rsid w:val="00B44B7E"/>
    <w:rsid w:val="00B649F5"/>
    <w:rsid w:val="00B70DF2"/>
    <w:rsid w:val="00BA4B1C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07331"/>
    <w:rsid w:val="00D16FA8"/>
    <w:rsid w:val="00D45E55"/>
    <w:rsid w:val="00D66A0E"/>
    <w:rsid w:val="00D868BD"/>
    <w:rsid w:val="00DB5F79"/>
    <w:rsid w:val="00DC0C11"/>
    <w:rsid w:val="00DC4018"/>
    <w:rsid w:val="00DF0A3D"/>
    <w:rsid w:val="00E13067"/>
    <w:rsid w:val="00E135BB"/>
    <w:rsid w:val="00E15A32"/>
    <w:rsid w:val="00E21A1B"/>
    <w:rsid w:val="00E36129"/>
    <w:rsid w:val="00E65894"/>
    <w:rsid w:val="00EA119B"/>
    <w:rsid w:val="00EC006B"/>
    <w:rsid w:val="00EC10A1"/>
    <w:rsid w:val="00EF5F06"/>
    <w:rsid w:val="00F33636"/>
    <w:rsid w:val="00F352C7"/>
    <w:rsid w:val="00F51205"/>
    <w:rsid w:val="00F669CC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B5B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44546A" w:themeColor="text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7B5B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7B5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B5B"/>
    <w:rPr>
      <w:rFonts w:ascii="Times New Roman" w:eastAsiaTheme="majorEastAsia" w:hAnsi="Times New Roman" w:cstheme="majorBidi"/>
      <w:b/>
      <w:bCs/>
      <w:color w:val="44546A" w:themeColor="text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7B5B"/>
    <w:rPr>
      <w:rFonts w:ascii="Times New Roman" w:eastAsiaTheme="majorEastAsia" w:hAnsi="Times New Roman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B5B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a0"/>
    <w:rsid w:val="00807B5B"/>
  </w:style>
  <w:style w:type="paragraph" w:styleId="31">
    <w:name w:val="Body Text 3"/>
    <w:basedOn w:val="a"/>
    <w:link w:val="32"/>
    <w:uiPriority w:val="99"/>
    <w:unhideWhenUsed/>
    <w:rsid w:val="00807B5B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07B5B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rsid w:val="00807B5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07B5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rsid w:val="00807B5B"/>
    <w:pPr>
      <w:spacing w:after="120" w:line="240" w:lineRule="auto"/>
      <w:ind w:left="283"/>
    </w:pPr>
    <w:rPr>
      <w:rFonts w:ascii="Pragmatica" w:eastAsia="Times New Roman" w:hAnsi="Pragmatica" w:cs="Times New Roman"/>
      <w:b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07B5B"/>
    <w:rPr>
      <w:rFonts w:ascii="Pragmatica" w:eastAsia="Times New Roman" w:hAnsi="Pragmatica" w:cs="Times New Roman"/>
      <w:b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807B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807B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Emphasis"/>
    <w:basedOn w:val="a0"/>
    <w:uiPriority w:val="20"/>
    <w:qFormat/>
    <w:rsid w:val="00807B5B"/>
    <w:rPr>
      <w:i/>
      <w:iCs/>
    </w:rPr>
  </w:style>
  <w:style w:type="paragraph" w:styleId="af8">
    <w:name w:val="caption"/>
    <w:basedOn w:val="a"/>
    <w:next w:val="a"/>
    <w:uiPriority w:val="35"/>
    <w:unhideWhenUsed/>
    <w:qFormat/>
    <w:rsid w:val="00807B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No Spacing"/>
    <w:basedOn w:val="a"/>
    <w:link w:val="afa"/>
    <w:uiPriority w:val="1"/>
    <w:qFormat/>
    <w:rsid w:val="00807B5B"/>
    <w:pPr>
      <w:spacing w:before="60" w:after="60" w:line="276" w:lineRule="auto"/>
    </w:pPr>
    <w:rPr>
      <w:rFonts w:cs="Times New Roman"/>
      <w:sz w:val="24"/>
      <w:szCs w:val="32"/>
      <w:lang w:val="en-US" w:bidi="en-US"/>
    </w:rPr>
  </w:style>
  <w:style w:type="character" w:customStyle="1" w:styleId="afa">
    <w:name w:val="Без интервала Знак"/>
    <w:basedOn w:val="a0"/>
    <w:link w:val="af9"/>
    <w:uiPriority w:val="1"/>
    <w:rsid w:val="00807B5B"/>
    <w:rPr>
      <w:rFonts w:cs="Times New Roman"/>
      <w:sz w:val="24"/>
      <w:szCs w:val="32"/>
      <w:lang w:val="en-US" w:bidi="en-US"/>
    </w:rPr>
  </w:style>
  <w:style w:type="paragraph" w:styleId="11">
    <w:name w:val="toc 1"/>
    <w:basedOn w:val="a"/>
    <w:next w:val="a"/>
    <w:autoRedefine/>
    <w:uiPriority w:val="39"/>
    <w:unhideWhenUsed/>
    <w:rsid w:val="00807B5B"/>
    <w:pPr>
      <w:tabs>
        <w:tab w:val="left" w:pos="390"/>
        <w:tab w:val="right" w:pos="9345"/>
      </w:tabs>
      <w:spacing w:before="120" w:after="0" w:line="276" w:lineRule="auto"/>
    </w:pPr>
    <w:rPr>
      <w:rFonts w:cs="Times New Roman"/>
      <w:b/>
      <w:bCs/>
      <w:caps/>
      <w:u w:val="single"/>
      <w:lang w:val="en-US" w:bidi="en-US"/>
    </w:rPr>
  </w:style>
  <w:style w:type="paragraph" w:styleId="23">
    <w:name w:val="toc 2"/>
    <w:basedOn w:val="a"/>
    <w:next w:val="a"/>
    <w:autoRedefine/>
    <w:uiPriority w:val="39"/>
    <w:unhideWhenUsed/>
    <w:rsid w:val="00807B5B"/>
    <w:pPr>
      <w:spacing w:after="0" w:line="276" w:lineRule="auto"/>
    </w:pPr>
    <w:rPr>
      <w:rFonts w:cs="Times New Roman"/>
      <w:b/>
      <w:bCs/>
      <w:smallCaps/>
      <w:lang w:val="en-US" w:bidi="en-US"/>
    </w:rPr>
  </w:style>
  <w:style w:type="character" w:styleId="afb">
    <w:name w:val="Strong"/>
    <w:basedOn w:val="a0"/>
    <w:uiPriority w:val="22"/>
    <w:qFormat/>
    <w:rsid w:val="00807B5B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807B5B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807B5B"/>
  </w:style>
  <w:style w:type="paragraph" w:styleId="afe">
    <w:name w:val="Subtitle"/>
    <w:basedOn w:val="a"/>
    <w:next w:val="a"/>
    <w:link w:val="aff"/>
    <w:uiPriority w:val="11"/>
    <w:qFormat/>
    <w:rsid w:val="00807B5B"/>
    <w:pPr>
      <w:numPr>
        <w:ilvl w:val="1"/>
      </w:numPr>
      <w:spacing w:line="276" w:lineRule="auto"/>
    </w:pPr>
    <w:rPr>
      <w:rFonts w:ascii="Times New Roman" w:eastAsiaTheme="minorEastAsia" w:hAnsi="Times New Roman"/>
      <w:color w:val="44546A" w:themeColor="text2"/>
      <w:sz w:val="28"/>
      <w:lang w:eastAsia="ru-RU"/>
    </w:rPr>
  </w:style>
  <w:style w:type="character" w:customStyle="1" w:styleId="aff">
    <w:name w:val="Подзаголовок Знак"/>
    <w:basedOn w:val="a0"/>
    <w:link w:val="afe"/>
    <w:uiPriority w:val="11"/>
    <w:rsid w:val="00807B5B"/>
    <w:rPr>
      <w:rFonts w:ascii="Times New Roman" w:eastAsiaTheme="minorEastAsia" w:hAnsi="Times New Roman"/>
      <w:color w:val="44546A" w:themeColor="text2"/>
      <w:sz w:val="28"/>
      <w:lang w:eastAsia="ru-RU"/>
    </w:rPr>
  </w:style>
  <w:style w:type="paragraph" w:styleId="aff0">
    <w:name w:val="TOC Heading"/>
    <w:basedOn w:val="1"/>
    <w:next w:val="a"/>
    <w:uiPriority w:val="39"/>
    <w:unhideWhenUsed/>
    <w:qFormat/>
    <w:rsid w:val="00807B5B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character" w:customStyle="1" w:styleId="TXT">
    <w:name w:val="TXT Знак"/>
    <w:link w:val="TXT0"/>
    <w:locked/>
    <w:rsid w:val="00807B5B"/>
    <w:rPr>
      <w:rFonts w:ascii="Arial" w:hAnsi="Arial" w:cs="Arial"/>
      <w:sz w:val="24"/>
      <w:szCs w:val="24"/>
    </w:rPr>
  </w:style>
  <w:style w:type="paragraph" w:customStyle="1" w:styleId="TXT0">
    <w:name w:val="TXT"/>
    <w:basedOn w:val="a"/>
    <w:link w:val="TXT"/>
    <w:qFormat/>
    <w:rsid w:val="00807B5B"/>
    <w:pPr>
      <w:spacing w:before="120" w:after="12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sid w:val="002F0D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B5B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44546A" w:themeColor="text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7B5B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7B5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B5B"/>
    <w:rPr>
      <w:rFonts w:ascii="Times New Roman" w:eastAsiaTheme="majorEastAsia" w:hAnsi="Times New Roman" w:cstheme="majorBidi"/>
      <w:b/>
      <w:bCs/>
      <w:color w:val="44546A" w:themeColor="text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7B5B"/>
    <w:rPr>
      <w:rFonts w:ascii="Times New Roman" w:eastAsiaTheme="majorEastAsia" w:hAnsi="Times New Roman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B5B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a0"/>
    <w:rsid w:val="00807B5B"/>
  </w:style>
  <w:style w:type="paragraph" w:styleId="31">
    <w:name w:val="Body Text 3"/>
    <w:basedOn w:val="a"/>
    <w:link w:val="32"/>
    <w:uiPriority w:val="99"/>
    <w:unhideWhenUsed/>
    <w:rsid w:val="00807B5B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07B5B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rsid w:val="00807B5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07B5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rsid w:val="00807B5B"/>
    <w:pPr>
      <w:spacing w:after="120" w:line="240" w:lineRule="auto"/>
      <w:ind w:left="283"/>
    </w:pPr>
    <w:rPr>
      <w:rFonts w:ascii="Pragmatica" w:eastAsia="Times New Roman" w:hAnsi="Pragmatica" w:cs="Times New Roman"/>
      <w:b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07B5B"/>
    <w:rPr>
      <w:rFonts w:ascii="Pragmatica" w:eastAsia="Times New Roman" w:hAnsi="Pragmatica" w:cs="Times New Roman"/>
      <w:b/>
      <w:sz w:val="16"/>
      <w:szCs w:val="16"/>
      <w:lang w:val="x-none" w:eastAsia="x-none"/>
    </w:rPr>
  </w:style>
  <w:style w:type="paragraph" w:styleId="af5">
    <w:name w:val="Plain Text"/>
    <w:basedOn w:val="a"/>
    <w:link w:val="af6"/>
    <w:rsid w:val="00807B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807B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Emphasis"/>
    <w:basedOn w:val="a0"/>
    <w:uiPriority w:val="20"/>
    <w:qFormat/>
    <w:rsid w:val="00807B5B"/>
    <w:rPr>
      <w:i/>
      <w:iCs/>
    </w:rPr>
  </w:style>
  <w:style w:type="paragraph" w:styleId="af8">
    <w:name w:val="caption"/>
    <w:basedOn w:val="a"/>
    <w:next w:val="a"/>
    <w:uiPriority w:val="35"/>
    <w:unhideWhenUsed/>
    <w:qFormat/>
    <w:rsid w:val="00807B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No Spacing"/>
    <w:basedOn w:val="a"/>
    <w:link w:val="afa"/>
    <w:uiPriority w:val="1"/>
    <w:qFormat/>
    <w:rsid w:val="00807B5B"/>
    <w:pPr>
      <w:spacing w:before="60" w:after="60" w:line="276" w:lineRule="auto"/>
    </w:pPr>
    <w:rPr>
      <w:rFonts w:cs="Times New Roman"/>
      <w:sz w:val="24"/>
      <w:szCs w:val="32"/>
      <w:lang w:val="en-US" w:bidi="en-US"/>
    </w:rPr>
  </w:style>
  <w:style w:type="character" w:customStyle="1" w:styleId="afa">
    <w:name w:val="Без интервала Знак"/>
    <w:basedOn w:val="a0"/>
    <w:link w:val="af9"/>
    <w:uiPriority w:val="1"/>
    <w:rsid w:val="00807B5B"/>
    <w:rPr>
      <w:rFonts w:cs="Times New Roman"/>
      <w:sz w:val="24"/>
      <w:szCs w:val="32"/>
      <w:lang w:val="en-US" w:bidi="en-US"/>
    </w:rPr>
  </w:style>
  <w:style w:type="paragraph" w:styleId="11">
    <w:name w:val="toc 1"/>
    <w:basedOn w:val="a"/>
    <w:next w:val="a"/>
    <w:autoRedefine/>
    <w:uiPriority w:val="39"/>
    <w:unhideWhenUsed/>
    <w:rsid w:val="00807B5B"/>
    <w:pPr>
      <w:tabs>
        <w:tab w:val="left" w:pos="390"/>
        <w:tab w:val="right" w:pos="9345"/>
      </w:tabs>
      <w:spacing w:before="120" w:after="0" w:line="276" w:lineRule="auto"/>
    </w:pPr>
    <w:rPr>
      <w:rFonts w:cs="Times New Roman"/>
      <w:b/>
      <w:bCs/>
      <w:caps/>
      <w:u w:val="single"/>
      <w:lang w:val="en-US" w:bidi="en-US"/>
    </w:rPr>
  </w:style>
  <w:style w:type="paragraph" w:styleId="23">
    <w:name w:val="toc 2"/>
    <w:basedOn w:val="a"/>
    <w:next w:val="a"/>
    <w:autoRedefine/>
    <w:uiPriority w:val="39"/>
    <w:unhideWhenUsed/>
    <w:rsid w:val="00807B5B"/>
    <w:pPr>
      <w:spacing w:after="0" w:line="276" w:lineRule="auto"/>
    </w:pPr>
    <w:rPr>
      <w:rFonts w:cs="Times New Roman"/>
      <w:b/>
      <w:bCs/>
      <w:smallCaps/>
      <w:lang w:val="en-US" w:bidi="en-US"/>
    </w:rPr>
  </w:style>
  <w:style w:type="character" w:styleId="afb">
    <w:name w:val="Strong"/>
    <w:basedOn w:val="a0"/>
    <w:uiPriority w:val="22"/>
    <w:qFormat/>
    <w:rsid w:val="00807B5B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807B5B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807B5B"/>
  </w:style>
  <w:style w:type="paragraph" w:styleId="afe">
    <w:name w:val="Subtitle"/>
    <w:basedOn w:val="a"/>
    <w:next w:val="a"/>
    <w:link w:val="aff"/>
    <w:uiPriority w:val="11"/>
    <w:qFormat/>
    <w:rsid w:val="00807B5B"/>
    <w:pPr>
      <w:numPr>
        <w:ilvl w:val="1"/>
      </w:numPr>
      <w:spacing w:line="276" w:lineRule="auto"/>
    </w:pPr>
    <w:rPr>
      <w:rFonts w:ascii="Times New Roman" w:eastAsiaTheme="minorEastAsia" w:hAnsi="Times New Roman"/>
      <w:color w:val="44546A" w:themeColor="text2"/>
      <w:sz w:val="28"/>
      <w:lang w:eastAsia="ru-RU"/>
    </w:rPr>
  </w:style>
  <w:style w:type="character" w:customStyle="1" w:styleId="aff">
    <w:name w:val="Подзаголовок Знак"/>
    <w:basedOn w:val="a0"/>
    <w:link w:val="afe"/>
    <w:uiPriority w:val="11"/>
    <w:rsid w:val="00807B5B"/>
    <w:rPr>
      <w:rFonts w:ascii="Times New Roman" w:eastAsiaTheme="minorEastAsia" w:hAnsi="Times New Roman"/>
      <w:color w:val="44546A" w:themeColor="text2"/>
      <w:sz w:val="28"/>
      <w:lang w:eastAsia="ru-RU"/>
    </w:rPr>
  </w:style>
  <w:style w:type="paragraph" w:styleId="aff0">
    <w:name w:val="TOC Heading"/>
    <w:basedOn w:val="1"/>
    <w:next w:val="a"/>
    <w:uiPriority w:val="39"/>
    <w:unhideWhenUsed/>
    <w:qFormat/>
    <w:rsid w:val="00807B5B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character" w:customStyle="1" w:styleId="TXT">
    <w:name w:val="TXT Знак"/>
    <w:link w:val="TXT0"/>
    <w:locked/>
    <w:rsid w:val="00807B5B"/>
    <w:rPr>
      <w:rFonts w:ascii="Arial" w:hAnsi="Arial" w:cs="Arial"/>
      <w:sz w:val="24"/>
      <w:szCs w:val="24"/>
    </w:rPr>
  </w:style>
  <w:style w:type="paragraph" w:customStyle="1" w:styleId="TXT0">
    <w:name w:val="TXT"/>
    <w:basedOn w:val="a"/>
    <w:link w:val="TXT"/>
    <w:qFormat/>
    <w:rsid w:val="00807B5B"/>
    <w:pPr>
      <w:spacing w:before="120" w:after="12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sid w:val="002F0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09F3-A536-4586-A151-07EA7F1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/>
  <cp:lastModifiedBy>Халимов Артём Саматович</cp:lastModifiedBy>
  <cp:revision>10</cp:revision>
  <cp:lastPrinted>2016-10-14T14:20:00Z</cp:lastPrinted>
  <dcterms:created xsi:type="dcterms:W3CDTF">2016-10-14T16:37:00Z</dcterms:created>
  <dcterms:modified xsi:type="dcterms:W3CDTF">2018-06-20T11:36:00Z</dcterms:modified>
</cp:coreProperties>
</file>